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pPr w:leftFromText="141" w:rightFromText="141" w:tblpY="615"/>
        <w:tblW w:w="9062" w:type="dxa"/>
        <w:tblCellMar>
          <w:left w:w="103" w:type="dxa"/>
        </w:tblCellMar>
        <w:tblLook w:val="04A0" w:firstRow="1" w:lastRow="0" w:firstColumn="1" w:lastColumn="0" w:noHBand="0" w:noVBand="1"/>
      </w:tblPr>
      <w:tblGrid>
        <w:gridCol w:w="9062"/>
      </w:tblGrid>
      <w:tr w:rsidR="005A1DFB">
        <w:tc>
          <w:tcPr>
            <w:tcW w:w="9062" w:type="dxa"/>
            <w:shd w:val="clear" w:color="auto" w:fill="auto"/>
          </w:tcPr>
          <w:p w:rsidR="005A1DFB" w:rsidRDefault="009349D8">
            <w:pPr>
              <w:pageBreakBefore/>
              <w:spacing w:after="0" w:line="240" w:lineRule="auto"/>
              <w:rPr>
                <w:rFonts w:ascii="Times New Roman" w:hAnsi="Times New Roman" w:cs="Times New Roman"/>
                <w:b/>
                <w:sz w:val="24"/>
                <w:szCs w:val="24"/>
              </w:rPr>
            </w:pPr>
            <w:r>
              <w:rPr>
                <w:rFonts w:ascii="Times New Roman" w:hAnsi="Times New Roman" w:cs="Times New Roman"/>
                <w:b/>
                <w:sz w:val="24"/>
                <w:szCs w:val="24"/>
              </w:rPr>
              <w:t>Kaitstavate seente liigiseire</w:t>
            </w:r>
          </w:p>
          <w:p w:rsidR="005A1DFB" w:rsidRDefault="005A1DFB">
            <w:pPr>
              <w:spacing w:after="0" w:line="240" w:lineRule="auto"/>
              <w:rPr>
                <w:rFonts w:ascii="Times New Roman" w:hAnsi="Times New Roman" w:cs="Times New Roman"/>
                <w:b/>
                <w:sz w:val="24"/>
                <w:szCs w:val="24"/>
              </w:rPr>
            </w:pPr>
          </w:p>
        </w:tc>
      </w:tr>
      <w:tr w:rsidR="005A1DFB">
        <w:trPr>
          <w:trHeight w:val="273"/>
        </w:trPr>
        <w:tc>
          <w:tcPr>
            <w:tcW w:w="9062" w:type="dxa"/>
            <w:shd w:val="clear" w:color="auto" w:fill="auto"/>
          </w:tcPr>
          <w:p w:rsidR="005A1DFB" w:rsidRDefault="009349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Eesmärk</w:t>
            </w:r>
          </w:p>
          <w:p w:rsidR="005A1DFB" w:rsidRDefault="005A1DFB">
            <w:pPr>
              <w:spacing w:after="0" w:line="240" w:lineRule="auto"/>
              <w:jc w:val="both"/>
              <w:rPr>
                <w:rFonts w:ascii="Times New Roman" w:hAnsi="Times New Roman" w:cs="Times New Roman"/>
                <w:sz w:val="24"/>
                <w:szCs w:val="24"/>
              </w:rPr>
            </w:pPr>
          </w:p>
          <w:p w:rsidR="005A1DFB" w:rsidRDefault="0093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Seiretöö eesmärk on koguda andmeid I ja II kategooria kaitsealuste seeneliikide populatsioonide kohta, et pakkuda järjepidevat infot nende liikide Eesti asurkonna seisundi ja seisundi muutuste ning ohustatuse hindamiseks. Esmased kasutatavad näitajad on seireliigi levik (asustatud leiukohtade hulk ja paiknemine) ja seisund (liigi isendite arv ja elupaiga </w:t>
            </w:r>
            <w:r w:rsidR="001062AC">
              <w:rPr>
                <w:rFonts w:ascii="Times New Roman" w:hAnsi="Times New Roman" w:cs="Times New Roman"/>
                <w:sz w:val="24"/>
                <w:szCs w:val="24"/>
              </w:rPr>
              <w:t>seisund</w:t>
            </w:r>
            <w:r>
              <w:rPr>
                <w:rFonts w:ascii="Times New Roman" w:hAnsi="Times New Roman" w:cs="Times New Roman"/>
                <w:sz w:val="24"/>
                <w:szCs w:val="24"/>
              </w:rPr>
              <w:t>).</w:t>
            </w:r>
          </w:p>
          <w:p w:rsidR="005A1DFB" w:rsidRDefault="005A1DFB">
            <w:pPr>
              <w:spacing w:after="0" w:line="240" w:lineRule="auto"/>
              <w:jc w:val="both"/>
              <w:rPr>
                <w:rFonts w:ascii="Times New Roman" w:hAnsi="Times New Roman" w:cs="Times New Roman"/>
                <w:sz w:val="24"/>
                <w:szCs w:val="24"/>
              </w:rPr>
            </w:pPr>
            <w:bookmarkStart w:id="0" w:name="_GoBack"/>
            <w:bookmarkEnd w:id="0"/>
          </w:p>
        </w:tc>
      </w:tr>
      <w:tr w:rsidR="005A1DFB">
        <w:trPr>
          <w:trHeight w:val="556"/>
        </w:trPr>
        <w:tc>
          <w:tcPr>
            <w:tcW w:w="9062" w:type="dxa"/>
            <w:shd w:val="clear" w:color="auto" w:fill="auto"/>
          </w:tcPr>
          <w:p w:rsidR="005A1DFB" w:rsidRDefault="009349D8">
            <w:pPr>
              <w:spacing w:after="0"/>
              <w:rPr>
                <w:rFonts w:ascii="Times New Roman" w:hAnsi="Times New Roman" w:cs="Times New Roman"/>
                <w:b/>
                <w:sz w:val="24"/>
                <w:szCs w:val="24"/>
              </w:rPr>
            </w:pPr>
            <w:r>
              <w:rPr>
                <w:rFonts w:ascii="Times New Roman" w:hAnsi="Times New Roman" w:cs="Times New Roman"/>
                <w:b/>
                <w:sz w:val="24"/>
                <w:szCs w:val="24"/>
              </w:rPr>
              <w:t>Parameetrid</w:t>
            </w:r>
          </w:p>
          <w:p w:rsidR="005A1DFB" w:rsidRDefault="005A1DFB">
            <w:pPr>
              <w:spacing w:after="0"/>
              <w:rPr>
                <w:rFonts w:ascii="Times New Roman" w:hAnsi="Times New Roman" w:cs="Times New Roman"/>
                <w:sz w:val="24"/>
                <w:szCs w:val="24"/>
              </w:rPr>
            </w:pPr>
          </w:p>
          <w:p w:rsidR="005A1DFB" w:rsidRDefault="009349D8">
            <w:pPr>
              <w:spacing w:after="0"/>
              <w:rPr>
                <w:rFonts w:ascii="Times New Roman" w:hAnsi="Times New Roman" w:cs="Times New Roman"/>
                <w:sz w:val="24"/>
                <w:szCs w:val="24"/>
              </w:rPr>
            </w:pPr>
            <w:r>
              <w:rPr>
                <w:rFonts w:ascii="Times New Roman" w:hAnsi="Times New Roman" w:cs="Times New Roman"/>
                <w:sz w:val="24"/>
                <w:szCs w:val="24"/>
              </w:rPr>
              <w:t>Tabel 1. Mõõtekohas (pindala 0,1 ha) kirjeldatavad seireparameetrid.</w:t>
            </w:r>
          </w:p>
          <w:tbl>
            <w:tblPr>
              <w:tblStyle w:val="Kontuurtabel"/>
              <w:tblW w:w="5000" w:type="pct"/>
              <w:tblCellMar>
                <w:left w:w="103" w:type="dxa"/>
              </w:tblCellMar>
              <w:tblLook w:val="04A0" w:firstRow="1" w:lastRow="0" w:firstColumn="1" w:lastColumn="0" w:noHBand="0" w:noVBand="1"/>
            </w:tblPr>
            <w:tblGrid>
              <w:gridCol w:w="1404"/>
              <w:gridCol w:w="2472"/>
              <w:gridCol w:w="1985"/>
              <w:gridCol w:w="2259"/>
              <w:gridCol w:w="721"/>
            </w:tblGrid>
            <w:tr w:rsidR="005A1DFB">
              <w:tc>
                <w:tcPr>
                  <w:tcW w:w="1419" w:type="dxa"/>
                  <w:tcBorders>
                    <w:right w:val="nil"/>
                  </w:tcBorders>
                  <w:shd w:val="clear" w:color="auto" w:fill="auto"/>
                </w:tcPr>
                <w:p w:rsidR="005A1DFB" w:rsidRDefault="009349D8" w:rsidP="00763C0C">
                  <w:pPr>
                    <w:framePr w:hSpace="141" w:wrap="around" w:hAnchor="text" w:y="615"/>
                    <w:spacing w:after="0" w:line="240" w:lineRule="auto"/>
                    <w:rPr>
                      <w:rFonts w:ascii="Times New Roman" w:hAnsi="Times New Roman"/>
                      <w:b/>
                      <w:bCs/>
                    </w:rPr>
                  </w:pPr>
                  <w:r>
                    <w:rPr>
                      <w:rFonts w:ascii="Times New Roman" w:hAnsi="Times New Roman"/>
                      <w:b/>
                      <w:bCs/>
                    </w:rPr>
                    <w:t>Näitaja kood</w:t>
                  </w:r>
                </w:p>
              </w:tc>
              <w:tc>
                <w:tcPr>
                  <w:tcW w:w="2183" w:type="dxa"/>
                  <w:shd w:val="clear" w:color="auto" w:fill="auto"/>
                </w:tcPr>
                <w:p w:rsidR="005A1DFB" w:rsidRDefault="009349D8" w:rsidP="00763C0C">
                  <w:pPr>
                    <w:framePr w:hSpace="141" w:wrap="around" w:hAnchor="text" w:y="615"/>
                    <w:spacing w:after="0" w:line="240" w:lineRule="auto"/>
                    <w:rPr>
                      <w:rFonts w:ascii="Times New Roman" w:hAnsi="Times New Roman" w:cs="Times New Roman"/>
                      <w:b/>
                      <w:sz w:val="24"/>
                      <w:szCs w:val="24"/>
                    </w:rPr>
                  </w:pPr>
                  <w:r>
                    <w:rPr>
                      <w:rFonts w:ascii="Times New Roman" w:hAnsi="Times New Roman" w:cs="Times New Roman"/>
                      <w:b/>
                    </w:rPr>
                    <w:t>Näitaja nimetus</w:t>
                  </w:r>
                </w:p>
              </w:tc>
              <w:tc>
                <w:tcPr>
                  <w:tcW w:w="2063" w:type="dxa"/>
                  <w:shd w:val="clear" w:color="auto" w:fill="auto"/>
                </w:tcPr>
                <w:p w:rsidR="005A1DFB" w:rsidRDefault="009349D8" w:rsidP="00763C0C">
                  <w:pPr>
                    <w:framePr w:hSpace="141" w:wrap="around" w:hAnchor="text" w:y="615"/>
                    <w:spacing w:after="0" w:line="240" w:lineRule="auto"/>
                    <w:rPr>
                      <w:rFonts w:ascii="Times New Roman" w:hAnsi="Times New Roman" w:cs="Times New Roman"/>
                      <w:b/>
                      <w:sz w:val="24"/>
                      <w:szCs w:val="24"/>
                    </w:rPr>
                  </w:pPr>
                  <w:r>
                    <w:rPr>
                      <w:rFonts w:ascii="Times New Roman" w:hAnsi="Times New Roman" w:cs="Times New Roman"/>
                      <w:b/>
                    </w:rPr>
                    <w:t>Valikloend</w:t>
                  </w:r>
                </w:p>
              </w:tc>
              <w:tc>
                <w:tcPr>
                  <w:tcW w:w="2447" w:type="dxa"/>
                  <w:shd w:val="clear" w:color="auto" w:fill="auto"/>
                </w:tcPr>
                <w:p w:rsidR="005A1DFB" w:rsidRDefault="009349D8" w:rsidP="00763C0C">
                  <w:pPr>
                    <w:framePr w:hSpace="141" w:wrap="around" w:hAnchor="text" w:y="615"/>
                    <w:spacing w:after="0" w:line="240" w:lineRule="auto"/>
                    <w:rPr>
                      <w:rFonts w:ascii="Times New Roman" w:hAnsi="Times New Roman" w:cs="Times New Roman"/>
                      <w:b/>
                      <w:sz w:val="24"/>
                      <w:szCs w:val="24"/>
                    </w:rPr>
                  </w:pPr>
                  <w:r>
                    <w:rPr>
                      <w:rFonts w:ascii="Times New Roman" w:hAnsi="Times New Roman" w:cs="Times New Roman"/>
                      <w:b/>
                    </w:rPr>
                    <w:t>Väärtus</w:t>
                  </w:r>
                </w:p>
              </w:tc>
              <w:tc>
                <w:tcPr>
                  <w:tcW w:w="737" w:type="dxa"/>
                  <w:shd w:val="clear" w:color="auto" w:fill="auto"/>
                </w:tcPr>
                <w:p w:rsidR="005A1DFB" w:rsidRDefault="009349D8" w:rsidP="00763C0C">
                  <w:pPr>
                    <w:framePr w:hSpace="141" w:wrap="around" w:hAnchor="text" w:y="615"/>
                    <w:spacing w:after="0" w:line="240" w:lineRule="auto"/>
                    <w:rPr>
                      <w:rFonts w:ascii="Times New Roman" w:hAnsi="Times New Roman" w:cs="Times New Roman"/>
                      <w:b/>
                      <w:sz w:val="24"/>
                      <w:szCs w:val="24"/>
                    </w:rPr>
                  </w:pPr>
                  <w:r>
                    <w:rPr>
                      <w:rFonts w:ascii="Times New Roman" w:hAnsi="Times New Roman" w:cs="Times New Roman"/>
                      <w:b/>
                    </w:rPr>
                    <w:t>Ühik</w:t>
                  </w:r>
                </w:p>
              </w:tc>
            </w:tr>
            <w:tr w:rsidR="005A1DFB">
              <w:tc>
                <w:tcPr>
                  <w:tcW w:w="1419" w:type="dxa"/>
                  <w:tcBorders>
                    <w:right w:val="nil"/>
                  </w:tcBorders>
                  <w:shd w:val="clear" w:color="auto" w:fill="auto"/>
                </w:tcPr>
                <w:p w:rsidR="005A1DFB" w:rsidRDefault="009349D8" w:rsidP="00763C0C">
                  <w:pPr>
                    <w:framePr w:hSpace="141" w:wrap="around" w:hAnchor="text" w:y="615"/>
                    <w:spacing w:after="0" w:line="240" w:lineRule="auto"/>
                    <w:rPr>
                      <w:rFonts w:ascii="Times New Roman" w:hAnsi="Times New Roman"/>
                    </w:rPr>
                  </w:pPr>
                  <w:r>
                    <w:rPr>
                      <w:rFonts w:ascii="Times New Roman" w:hAnsi="Times New Roman"/>
                    </w:rPr>
                    <w:t>N100002897</w:t>
                  </w:r>
                </w:p>
              </w:tc>
              <w:tc>
                <w:tcPr>
                  <w:tcW w:w="2183" w:type="dxa"/>
                  <w:shd w:val="clear" w:color="auto" w:fill="auto"/>
                </w:tcPr>
                <w:p w:rsidR="005A1DFB" w:rsidRDefault="009349D8" w:rsidP="00763C0C">
                  <w:pPr>
                    <w:framePr w:hSpace="141" w:wrap="around" w:hAnchor="text" w:y="615"/>
                    <w:spacing w:after="0" w:line="240" w:lineRule="auto"/>
                  </w:pPr>
                  <w:r>
                    <w:rPr>
                      <w:rFonts w:ascii="Times New Roman" w:hAnsi="Times New Roman" w:cs="Times New Roman"/>
                    </w:rPr>
                    <w:t xml:space="preserve">Liigi isendite arv </w:t>
                  </w:r>
                  <w:bookmarkStart w:id="1" w:name="__DdeLink__26167_2116926217"/>
                  <w:r>
                    <w:rPr>
                      <w:rFonts w:ascii="Times New Roman" w:hAnsi="Times New Roman" w:cs="Times New Roman"/>
                      <w:b/>
                      <w:vertAlign w:val="superscript"/>
                    </w:rPr>
                    <w:t>1</w:t>
                  </w:r>
                  <w:bookmarkEnd w:id="1"/>
                </w:p>
              </w:tc>
              <w:tc>
                <w:tcPr>
                  <w:tcW w:w="2063" w:type="dxa"/>
                  <w:shd w:val="clear" w:color="auto" w:fill="auto"/>
                </w:tcPr>
                <w:p w:rsidR="005A1DFB" w:rsidRDefault="009349D8" w:rsidP="00763C0C">
                  <w:pPr>
                    <w:framePr w:hSpace="141" w:wrap="around" w:hAnchor="text" w:y="615"/>
                    <w:spacing w:after="0" w:line="240" w:lineRule="auto"/>
                    <w:rPr>
                      <w:rFonts w:ascii="Times New Roman" w:hAnsi="Times New Roman" w:cs="Times New Roman"/>
                      <w:sz w:val="24"/>
                      <w:szCs w:val="24"/>
                    </w:rPr>
                  </w:pPr>
                  <w:r>
                    <w:rPr>
                      <w:rFonts w:ascii="Times New Roman" w:hAnsi="Times New Roman" w:cs="Times New Roman"/>
                    </w:rPr>
                    <w:t>EELIS liigid ja kõrgemad taksonid</w:t>
                  </w:r>
                </w:p>
              </w:tc>
              <w:tc>
                <w:tcPr>
                  <w:tcW w:w="2447" w:type="dxa"/>
                  <w:shd w:val="clear" w:color="auto" w:fill="auto"/>
                </w:tcPr>
                <w:p w:rsidR="005A1DFB" w:rsidRDefault="009349D8" w:rsidP="00763C0C">
                  <w:pPr>
                    <w:framePr w:hSpace="141" w:wrap="around" w:hAnchor="text" w:y="615"/>
                    <w:spacing w:after="0" w:line="240" w:lineRule="auto"/>
                  </w:pPr>
                  <w:r>
                    <w:rPr>
                      <w:rFonts w:ascii="Times New Roman" w:hAnsi="Times New Roman" w:cs="Times New Roman"/>
                    </w:rPr>
                    <w:t>LIIK + funktsionaalsete isendite arv</w:t>
                  </w:r>
                </w:p>
              </w:tc>
              <w:tc>
                <w:tcPr>
                  <w:tcW w:w="737" w:type="dxa"/>
                  <w:shd w:val="clear" w:color="auto" w:fill="auto"/>
                </w:tcPr>
                <w:p w:rsidR="005A1DFB" w:rsidRDefault="009349D8" w:rsidP="00763C0C">
                  <w:pPr>
                    <w:framePr w:hSpace="141" w:wrap="around" w:hAnchor="text" w:y="615"/>
                    <w:spacing w:after="0" w:line="240" w:lineRule="auto"/>
                    <w:rPr>
                      <w:rFonts w:ascii="Times New Roman" w:hAnsi="Times New Roman" w:cs="Times New Roman"/>
                    </w:rPr>
                  </w:pPr>
                  <w:r>
                    <w:rPr>
                      <w:rFonts w:ascii="Times New Roman" w:hAnsi="Times New Roman" w:cs="Times New Roman"/>
                    </w:rPr>
                    <w:t>isend</w:t>
                  </w:r>
                </w:p>
              </w:tc>
            </w:tr>
            <w:tr w:rsidR="005A1DFB">
              <w:tc>
                <w:tcPr>
                  <w:tcW w:w="1419" w:type="dxa"/>
                  <w:tcBorders>
                    <w:right w:val="nil"/>
                  </w:tcBorders>
                  <w:shd w:val="clear" w:color="auto" w:fill="auto"/>
                </w:tcPr>
                <w:p w:rsidR="005A1DFB" w:rsidRDefault="009349D8" w:rsidP="00763C0C">
                  <w:pPr>
                    <w:framePr w:hSpace="141" w:wrap="around" w:hAnchor="text" w:y="615"/>
                    <w:spacing w:after="0" w:line="240" w:lineRule="auto"/>
                    <w:rPr>
                      <w:rFonts w:ascii="Times New Roman" w:hAnsi="Times New Roman"/>
                    </w:rPr>
                  </w:pPr>
                  <w:r>
                    <w:rPr>
                      <w:rFonts w:ascii="Times New Roman" w:hAnsi="Times New Roman"/>
                    </w:rPr>
                    <w:t>N100005571</w:t>
                  </w:r>
                </w:p>
              </w:tc>
              <w:tc>
                <w:tcPr>
                  <w:tcW w:w="2183" w:type="dxa"/>
                  <w:shd w:val="clear" w:color="auto" w:fill="auto"/>
                </w:tcPr>
                <w:p w:rsidR="005A1DFB" w:rsidRDefault="009349D8" w:rsidP="00763C0C">
                  <w:pPr>
                    <w:framePr w:hSpace="141" w:wrap="around" w:hAnchor="text" w:y="615"/>
                    <w:spacing w:after="0" w:line="240" w:lineRule="auto"/>
                    <w:rPr>
                      <w:rFonts w:ascii="Times New Roman" w:hAnsi="Times New Roman"/>
                    </w:rPr>
                  </w:pPr>
                  <w:r>
                    <w:rPr>
                      <w:rFonts w:ascii="Times New Roman" w:hAnsi="Times New Roman" w:cs="Times New Roman"/>
                    </w:rPr>
                    <w:t xml:space="preserve">Substraadi/mikroelupaiga ohtrus </w:t>
                  </w:r>
                </w:p>
              </w:tc>
              <w:tc>
                <w:tcPr>
                  <w:tcW w:w="2063" w:type="dxa"/>
                  <w:shd w:val="clear" w:color="auto" w:fill="auto"/>
                </w:tcPr>
                <w:p w:rsidR="005A1DFB" w:rsidRDefault="009349D8" w:rsidP="00763C0C">
                  <w:pPr>
                    <w:framePr w:hSpace="141" w:wrap="around" w:hAnchor="text" w:y="615"/>
                    <w:spacing w:after="0" w:line="240" w:lineRule="auto"/>
                  </w:pPr>
                  <w:r>
                    <w:rPr>
                      <w:rFonts w:ascii="Times New Roman" w:hAnsi="Times New Roman" w:cs="Times New Roman"/>
                    </w:rPr>
                    <w:t xml:space="preserve">Substraadid </w:t>
                  </w:r>
                  <w:r>
                    <w:rPr>
                      <w:rFonts w:ascii="Times New Roman" w:hAnsi="Times New Roman" w:cs="Times New Roman"/>
                      <w:b/>
                      <w:vertAlign w:val="superscript"/>
                    </w:rPr>
                    <w:t>2</w:t>
                  </w:r>
                </w:p>
              </w:tc>
              <w:tc>
                <w:tcPr>
                  <w:tcW w:w="2447" w:type="dxa"/>
                  <w:shd w:val="clear" w:color="auto" w:fill="auto"/>
                </w:tcPr>
                <w:p w:rsidR="005A1DFB" w:rsidRDefault="009349D8" w:rsidP="00763C0C">
                  <w:pPr>
                    <w:framePr w:hSpace="141" w:wrap="around" w:hAnchor="text" w:y="615"/>
                    <w:spacing w:after="0" w:line="240" w:lineRule="auto"/>
                  </w:pPr>
                  <w:r>
                    <w:rPr>
                      <w:rFonts w:ascii="Times New Roman" w:hAnsi="Times New Roman" w:cs="Times New Roman"/>
                    </w:rPr>
                    <w:t>0 – puudub; 1 – üksikud; 2 – paiguti, hajusalt, gruppidena; 3 – lausaline, valdav</w:t>
                  </w:r>
                </w:p>
              </w:tc>
              <w:tc>
                <w:tcPr>
                  <w:tcW w:w="737" w:type="dxa"/>
                  <w:shd w:val="clear" w:color="auto" w:fill="auto"/>
                </w:tcPr>
                <w:p w:rsidR="005A1DFB" w:rsidRDefault="005A1DFB" w:rsidP="00763C0C">
                  <w:pPr>
                    <w:framePr w:hSpace="141" w:wrap="around" w:hAnchor="text" w:y="615"/>
                    <w:spacing w:after="0" w:line="240" w:lineRule="auto"/>
                    <w:rPr>
                      <w:rFonts w:ascii="Times New Roman" w:hAnsi="Times New Roman" w:cs="Times New Roman"/>
                    </w:rPr>
                  </w:pPr>
                </w:p>
              </w:tc>
            </w:tr>
            <w:tr w:rsidR="005A1DFB">
              <w:tc>
                <w:tcPr>
                  <w:tcW w:w="1419" w:type="dxa"/>
                  <w:tcBorders>
                    <w:right w:val="nil"/>
                  </w:tcBorders>
                  <w:shd w:val="clear" w:color="auto" w:fill="auto"/>
                </w:tcPr>
                <w:p w:rsidR="005A1DFB" w:rsidRDefault="009349D8" w:rsidP="00763C0C">
                  <w:pPr>
                    <w:framePr w:hSpace="141" w:wrap="around" w:hAnchor="text" w:y="615"/>
                    <w:spacing w:after="0" w:line="240" w:lineRule="auto"/>
                    <w:rPr>
                      <w:rFonts w:ascii="Times New Roman" w:hAnsi="Times New Roman"/>
                    </w:rPr>
                  </w:pPr>
                  <w:r>
                    <w:rPr>
                      <w:rFonts w:ascii="Times New Roman" w:hAnsi="Times New Roman"/>
                    </w:rPr>
                    <w:t>N100005570</w:t>
                  </w:r>
                </w:p>
              </w:tc>
              <w:tc>
                <w:tcPr>
                  <w:tcW w:w="2183" w:type="dxa"/>
                  <w:shd w:val="clear" w:color="auto" w:fill="auto"/>
                </w:tcPr>
                <w:p w:rsidR="005A1DFB" w:rsidRDefault="009349D8" w:rsidP="00763C0C">
                  <w:pPr>
                    <w:framePr w:hSpace="141" w:wrap="around" w:hAnchor="text" w:y="615"/>
                    <w:spacing w:after="0" w:line="240" w:lineRule="auto"/>
                  </w:pPr>
                  <w:r>
                    <w:rPr>
                      <w:rFonts w:ascii="Times New Roman" w:hAnsi="Times New Roman" w:cs="Times New Roman"/>
                    </w:rPr>
                    <w:t xml:space="preserve">Suurima substraadiüksuse läbimõõt </w:t>
                  </w:r>
                  <w:r>
                    <w:rPr>
                      <w:rFonts w:ascii="Times New Roman" w:hAnsi="Times New Roman" w:cs="Times New Roman"/>
                      <w:b/>
                      <w:vertAlign w:val="superscript"/>
                    </w:rPr>
                    <w:t>3</w:t>
                  </w:r>
                </w:p>
              </w:tc>
              <w:tc>
                <w:tcPr>
                  <w:tcW w:w="2063" w:type="dxa"/>
                  <w:shd w:val="clear" w:color="auto" w:fill="auto"/>
                </w:tcPr>
                <w:p w:rsidR="005A1DFB" w:rsidRDefault="009349D8" w:rsidP="00763C0C">
                  <w:pPr>
                    <w:framePr w:hSpace="141" w:wrap="around" w:hAnchor="text" w:y="615"/>
                    <w:spacing w:after="0" w:line="240" w:lineRule="auto"/>
                    <w:rPr>
                      <w:rFonts w:ascii="Times New Roman" w:hAnsi="Times New Roman" w:cs="Times New Roman"/>
                    </w:rPr>
                  </w:pPr>
                  <w:r>
                    <w:rPr>
                      <w:rFonts w:ascii="Times New Roman" w:hAnsi="Times New Roman" w:cs="Times New Roman"/>
                    </w:rPr>
                    <w:t>Substraadid</w:t>
                  </w:r>
                </w:p>
              </w:tc>
              <w:tc>
                <w:tcPr>
                  <w:tcW w:w="2447" w:type="dxa"/>
                  <w:shd w:val="clear" w:color="auto" w:fill="auto"/>
                </w:tcPr>
                <w:p w:rsidR="005A1DFB" w:rsidRDefault="005A1DFB" w:rsidP="00763C0C">
                  <w:pPr>
                    <w:framePr w:hSpace="141" w:wrap="around" w:hAnchor="text" w:y="615"/>
                    <w:spacing w:after="0" w:line="240" w:lineRule="auto"/>
                    <w:rPr>
                      <w:rFonts w:ascii="Times New Roman" w:hAnsi="Times New Roman" w:cs="Times New Roman"/>
                    </w:rPr>
                  </w:pPr>
                </w:p>
              </w:tc>
              <w:tc>
                <w:tcPr>
                  <w:tcW w:w="737" w:type="dxa"/>
                  <w:shd w:val="clear" w:color="auto" w:fill="auto"/>
                </w:tcPr>
                <w:p w:rsidR="005A1DFB" w:rsidRDefault="009349D8" w:rsidP="00763C0C">
                  <w:pPr>
                    <w:framePr w:hSpace="141" w:wrap="around" w:hAnchor="text" w:y="615"/>
                    <w:spacing w:after="0" w:line="240" w:lineRule="auto"/>
                  </w:pPr>
                  <w:r>
                    <w:rPr>
                      <w:rFonts w:ascii="Times New Roman" w:hAnsi="Times New Roman" w:cs="Times New Roman"/>
                    </w:rPr>
                    <w:t>cm</w:t>
                  </w:r>
                </w:p>
              </w:tc>
            </w:tr>
            <w:tr w:rsidR="005A1DFB">
              <w:tc>
                <w:tcPr>
                  <w:tcW w:w="1419" w:type="dxa"/>
                  <w:tcBorders>
                    <w:top w:val="nil"/>
                    <w:right w:val="nil"/>
                  </w:tcBorders>
                  <w:shd w:val="clear" w:color="auto" w:fill="auto"/>
                </w:tcPr>
                <w:p w:rsidR="005A1DFB" w:rsidRDefault="009349D8" w:rsidP="00763C0C">
                  <w:pPr>
                    <w:framePr w:hSpace="141" w:wrap="around" w:hAnchor="text" w:y="615"/>
                    <w:spacing w:after="0" w:line="240" w:lineRule="auto"/>
                    <w:rPr>
                      <w:rFonts w:ascii="Times New Roman" w:hAnsi="Times New Roman"/>
                    </w:rPr>
                  </w:pPr>
                  <w:r>
                    <w:rPr>
                      <w:rFonts w:ascii="Times New Roman" w:hAnsi="Times New Roman"/>
                    </w:rPr>
                    <w:t>N100003427</w:t>
                  </w:r>
                </w:p>
              </w:tc>
              <w:tc>
                <w:tcPr>
                  <w:tcW w:w="2183" w:type="dxa"/>
                  <w:tcBorders>
                    <w:top w:val="nil"/>
                  </w:tcBorders>
                  <w:shd w:val="clear" w:color="auto" w:fill="auto"/>
                </w:tcPr>
                <w:p w:rsidR="005A1DFB" w:rsidRDefault="009349D8" w:rsidP="00763C0C">
                  <w:pPr>
                    <w:framePr w:hSpace="141" w:wrap="around" w:hAnchor="text" w:y="615"/>
                    <w:spacing w:after="0" w:line="240" w:lineRule="auto"/>
                    <w:rPr>
                      <w:rFonts w:ascii="Times New Roman" w:hAnsi="Times New Roman" w:cs="Times New Roman"/>
                      <w:sz w:val="24"/>
                      <w:szCs w:val="24"/>
                    </w:rPr>
                  </w:pPr>
                  <w:r>
                    <w:rPr>
                      <w:rFonts w:ascii="Times New Roman" w:hAnsi="Times New Roman" w:cs="Times New Roman"/>
                    </w:rPr>
                    <w:t>Kasvukohatüüp (Paal 1997)</w:t>
                  </w:r>
                </w:p>
              </w:tc>
              <w:tc>
                <w:tcPr>
                  <w:tcW w:w="2063" w:type="dxa"/>
                  <w:tcBorders>
                    <w:top w:val="nil"/>
                  </w:tcBorders>
                  <w:shd w:val="clear" w:color="auto" w:fill="auto"/>
                </w:tcPr>
                <w:p w:rsidR="005A1DFB" w:rsidRDefault="009349D8" w:rsidP="00763C0C">
                  <w:pPr>
                    <w:framePr w:hSpace="141" w:wrap="around" w:hAnchor="text" w:y="615"/>
                    <w:spacing w:after="0" w:line="240" w:lineRule="auto"/>
                  </w:pPr>
                  <w:r>
                    <w:rPr>
                      <w:rFonts w:ascii="Times New Roman" w:hAnsi="Times New Roman" w:cs="Times New Roman"/>
                    </w:rPr>
                    <w:t>Kasvukohatüübid (Paal 1997)</w:t>
                  </w:r>
                </w:p>
              </w:tc>
              <w:tc>
                <w:tcPr>
                  <w:tcW w:w="2447" w:type="dxa"/>
                  <w:tcBorders>
                    <w:top w:val="nil"/>
                  </w:tcBorders>
                  <w:shd w:val="clear" w:color="auto" w:fill="auto"/>
                </w:tcPr>
                <w:p w:rsidR="005A1DFB" w:rsidRDefault="005A1DFB" w:rsidP="00763C0C">
                  <w:pPr>
                    <w:framePr w:hSpace="141" w:wrap="around" w:hAnchor="text" w:y="615"/>
                    <w:spacing w:after="0" w:line="240" w:lineRule="auto"/>
                    <w:rPr>
                      <w:rFonts w:ascii="Times New Roman" w:hAnsi="Times New Roman" w:cs="Times New Roman"/>
                      <w:sz w:val="24"/>
                      <w:szCs w:val="24"/>
                    </w:rPr>
                  </w:pPr>
                </w:p>
              </w:tc>
              <w:tc>
                <w:tcPr>
                  <w:tcW w:w="737" w:type="dxa"/>
                  <w:tcBorders>
                    <w:top w:val="nil"/>
                  </w:tcBorders>
                  <w:shd w:val="clear" w:color="auto" w:fill="auto"/>
                </w:tcPr>
                <w:p w:rsidR="005A1DFB" w:rsidRDefault="005A1DFB" w:rsidP="00763C0C">
                  <w:pPr>
                    <w:framePr w:hSpace="141" w:wrap="around" w:hAnchor="text" w:y="615"/>
                    <w:spacing w:after="0" w:line="240" w:lineRule="auto"/>
                    <w:rPr>
                      <w:rFonts w:ascii="Times New Roman" w:hAnsi="Times New Roman" w:cs="Times New Roman"/>
                    </w:rPr>
                  </w:pPr>
                </w:p>
              </w:tc>
            </w:tr>
            <w:tr w:rsidR="005A1DFB">
              <w:tc>
                <w:tcPr>
                  <w:tcW w:w="1419" w:type="dxa"/>
                  <w:tcBorders>
                    <w:top w:val="nil"/>
                    <w:right w:val="nil"/>
                  </w:tcBorders>
                  <w:shd w:val="clear" w:color="auto" w:fill="auto"/>
                </w:tcPr>
                <w:p w:rsidR="005A1DFB" w:rsidRDefault="009349D8" w:rsidP="00763C0C">
                  <w:pPr>
                    <w:framePr w:hSpace="141" w:wrap="around" w:hAnchor="text" w:y="615"/>
                    <w:spacing w:after="0" w:line="240" w:lineRule="auto"/>
                    <w:rPr>
                      <w:rFonts w:ascii="Times New Roman" w:hAnsi="Times New Roman"/>
                    </w:rPr>
                  </w:pPr>
                  <w:r>
                    <w:rPr>
                      <w:rFonts w:ascii="Times New Roman" w:hAnsi="Times New Roman"/>
                    </w:rPr>
                    <w:t>N100003244</w:t>
                  </w:r>
                </w:p>
              </w:tc>
              <w:tc>
                <w:tcPr>
                  <w:tcW w:w="2183" w:type="dxa"/>
                  <w:tcBorders>
                    <w:top w:val="nil"/>
                  </w:tcBorders>
                  <w:shd w:val="clear" w:color="auto" w:fill="auto"/>
                </w:tcPr>
                <w:p w:rsidR="005A1DFB" w:rsidRDefault="009349D8" w:rsidP="00763C0C">
                  <w:pPr>
                    <w:framePr w:hSpace="141" w:wrap="around" w:hAnchor="text" w:y="615"/>
                    <w:spacing w:after="0" w:line="240" w:lineRule="auto"/>
                    <w:rPr>
                      <w:rFonts w:ascii="Times New Roman" w:hAnsi="Times New Roman"/>
                    </w:rPr>
                  </w:pPr>
                  <w:r>
                    <w:rPr>
                      <w:rFonts w:ascii="Times New Roman" w:hAnsi="Times New Roman"/>
                    </w:rPr>
                    <w:t>Kasvukohatüübi ulatus</w:t>
                  </w:r>
                </w:p>
              </w:tc>
              <w:tc>
                <w:tcPr>
                  <w:tcW w:w="2063" w:type="dxa"/>
                  <w:tcBorders>
                    <w:top w:val="nil"/>
                  </w:tcBorders>
                  <w:shd w:val="clear" w:color="auto" w:fill="auto"/>
                </w:tcPr>
                <w:p w:rsidR="005A1DFB" w:rsidRDefault="005A1DFB" w:rsidP="00763C0C">
                  <w:pPr>
                    <w:framePr w:hSpace="141" w:wrap="around" w:hAnchor="text" w:y="615"/>
                    <w:spacing w:after="0" w:line="240" w:lineRule="auto"/>
                  </w:pPr>
                </w:p>
              </w:tc>
              <w:tc>
                <w:tcPr>
                  <w:tcW w:w="2447" w:type="dxa"/>
                  <w:tcBorders>
                    <w:top w:val="nil"/>
                  </w:tcBorders>
                  <w:shd w:val="clear" w:color="auto" w:fill="auto"/>
                </w:tcPr>
                <w:p w:rsidR="005A1DFB" w:rsidRDefault="009349D8" w:rsidP="00763C0C">
                  <w:pPr>
                    <w:framePr w:hSpace="141" w:wrap="around" w:hAnchor="text" w:y="615"/>
                    <w:spacing w:after="0" w:line="240" w:lineRule="auto"/>
                  </w:pPr>
                  <w:r>
                    <w:rPr>
                      <w:rFonts w:ascii="Times New Roman" w:hAnsi="Times New Roman" w:cs="Times New Roman"/>
                    </w:rPr>
                    <w:t xml:space="preserve">0 – puudub; </w:t>
                  </w:r>
                  <w:r>
                    <w:rPr>
                      <w:rFonts w:ascii="Times New Roman" w:hAnsi="Times New Roman" w:cs="Times New Roman"/>
                    </w:rPr>
                    <w:br/>
                    <w:t xml:space="preserve">1 – ainult mõõtekohas; </w:t>
                  </w:r>
                  <w:r>
                    <w:rPr>
                      <w:rFonts w:ascii="Times New Roman" w:hAnsi="Times New Roman" w:cs="Times New Roman"/>
                    </w:rPr>
                    <w:br/>
                    <w:t xml:space="preserve">2 – mõõtekohas ja selle lähiümbruses; </w:t>
                  </w:r>
                  <w:r>
                    <w:rPr>
                      <w:rFonts w:ascii="Times New Roman" w:hAnsi="Times New Roman" w:cs="Times New Roman"/>
                    </w:rPr>
                    <w:br/>
                    <w:t>3 – piirkonnas laialt levinud</w:t>
                  </w:r>
                </w:p>
              </w:tc>
              <w:tc>
                <w:tcPr>
                  <w:tcW w:w="737" w:type="dxa"/>
                  <w:tcBorders>
                    <w:top w:val="nil"/>
                  </w:tcBorders>
                  <w:shd w:val="clear" w:color="auto" w:fill="auto"/>
                </w:tcPr>
                <w:p w:rsidR="005A1DFB" w:rsidRDefault="005A1DFB" w:rsidP="00763C0C">
                  <w:pPr>
                    <w:framePr w:hSpace="141" w:wrap="around" w:hAnchor="text" w:y="615"/>
                    <w:spacing w:after="0" w:line="240" w:lineRule="auto"/>
                    <w:rPr>
                      <w:rFonts w:ascii="Times New Roman" w:hAnsi="Times New Roman" w:cs="Times New Roman"/>
                    </w:rPr>
                  </w:pPr>
                </w:p>
              </w:tc>
            </w:tr>
            <w:tr w:rsidR="005A1DFB">
              <w:tc>
                <w:tcPr>
                  <w:tcW w:w="1419" w:type="dxa"/>
                  <w:tcBorders>
                    <w:right w:val="nil"/>
                  </w:tcBorders>
                  <w:shd w:val="clear" w:color="auto" w:fill="auto"/>
                </w:tcPr>
                <w:p w:rsidR="005A1DFB" w:rsidRDefault="009349D8" w:rsidP="00763C0C">
                  <w:pPr>
                    <w:framePr w:hSpace="141" w:wrap="around" w:hAnchor="text" w:y="615"/>
                    <w:spacing w:after="0" w:line="240" w:lineRule="auto"/>
                    <w:rPr>
                      <w:rFonts w:ascii="Times New Roman" w:hAnsi="Times New Roman"/>
                    </w:rPr>
                  </w:pPr>
                  <w:r>
                    <w:rPr>
                      <w:rFonts w:ascii="Times New Roman" w:hAnsi="Times New Roman"/>
                    </w:rPr>
                    <w:t>N100005264</w:t>
                  </w:r>
                </w:p>
              </w:tc>
              <w:tc>
                <w:tcPr>
                  <w:tcW w:w="2183" w:type="dxa"/>
                  <w:shd w:val="clear" w:color="auto" w:fill="auto"/>
                </w:tcPr>
                <w:p w:rsidR="005A1DFB" w:rsidRDefault="009349D8" w:rsidP="00763C0C">
                  <w:pPr>
                    <w:framePr w:hSpace="141" w:wrap="around" w:hAnchor="text" w:y="615"/>
                    <w:spacing w:after="0" w:line="240" w:lineRule="auto"/>
                  </w:pPr>
                  <w:r>
                    <w:rPr>
                      <w:rFonts w:ascii="Times New Roman" w:hAnsi="Times New Roman" w:cs="Times New Roman"/>
                    </w:rPr>
                    <w:t xml:space="preserve">Liigi osakaal puistus </w:t>
                  </w:r>
                  <w:r>
                    <w:rPr>
                      <w:rFonts w:ascii="Times New Roman" w:hAnsi="Times New Roman" w:cs="Times New Roman"/>
                      <w:b/>
                      <w:vertAlign w:val="superscript"/>
                    </w:rPr>
                    <w:t>4</w:t>
                  </w:r>
                </w:p>
              </w:tc>
              <w:tc>
                <w:tcPr>
                  <w:tcW w:w="2063" w:type="dxa"/>
                  <w:shd w:val="clear" w:color="auto" w:fill="auto"/>
                </w:tcPr>
                <w:p w:rsidR="005A1DFB" w:rsidRDefault="009349D8" w:rsidP="00763C0C">
                  <w:pPr>
                    <w:framePr w:hSpace="141" w:wrap="around" w:hAnchor="text" w:y="615"/>
                    <w:spacing w:after="0" w:line="240" w:lineRule="auto"/>
                    <w:rPr>
                      <w:rFonts w:ascii="Times New Roman" w:hAnsi="Times New Roman" w:cs="Times New Roman"/>
                    </w:rPr>
                  </w:pPr>
                  <w:r>
                    <w:rPr>
                      <w:rFonts w:ascii="Times New Roman" w:hAnsi="Times New Roman" w:cs="Times New Roman"/>
                    </w:rPr>
                    <w:t>EELIS liigid ja kõrgemad taksonid</w:t>
                  </w:r>
                </w:p>
              </w:tc>
              <w:tc>
                <w:tcPr>
                  <w:tcW w:w="2447" w:type="dxa"/>
                  <w:shd w:val="clear" w:color="auto" w:fill="auto"/>
                </w:tcPr>
                <w:p w:rsidR="005A1DFB" w:rsidRDefault="009349D8" w:rsidP="00763C0C">
                  <w:pPr>
                    <w:framePr w:hSpace="141" w:wrap="around" w:hAnchor="text" w:y="615"/>
                    <w:spacing w:after="0" w:line="240" w:lineRule="auto"/>
                    <w:rPr>
                      <w:rFonts w:ascii="Times New Roman" w:hAnsi="Times New Roman" w:cs="Times New Roman"/>
                    </w:rPr>
                  </w:pPr>
                  <w:r>
                    <w:rPr>
                      <w:rFonts w:ascii="Times New Roman" w:hAnsi="Times New Roman" w:cs="Times New Roman"/>
                    </w:rPr>
                    <w:t>LIIK + koosseisukordaja</w:t>
                  </w:r>
                </w:p>
              </w:tc>
              <w:tc>
                <w:tcPr>
                  <w:tcW w:w="737" w:type="dxa"/>
                  <w:shd w:val="clear" w:color="auto" w:fill="auto"/>
                </w:tcPr>
                <w:p w:rsidR="005A1DFB" w:rsidRDefault="009349D8" w:rsidP="00763C0C">
                  <w:pPr>
                    <w:framePr w:hSpace="141" w:wrap="around" w:hAnchor="text" w:y="615"/>
                    <w:spacing w:after="0" w:line="240" w:lineRule="auto"/>
                    <w:rPr>
                      <w:rFonts w:ascii="Times New Roman" w:hAnsi="Times New Roman" w:cs="Times New Roman"/>
                    </w:rPr>
                  </w:pPr>
                  <w:r>
                    <w:rPr>
                      <w:rFonts w:ascii="Times New Roman" w:hAnsi="Times New Roman" w:cs="Times New Roman"/>
                    </w:rPr>
                    <w:t>%</w:t>
                  </w:r>
                </w:p>
              </w:tc>
            </w:tr>
            <w:tr w:rsidR="005A1DFB">
              <w:tc>
                <w:tcPr>
                  <w:tcW w:w="1419" w:type="dxa"/>
                  <w:tcBorders>
                    <w:right w:val="nil"/>
                  </w:tcBorders>
                  <w:shd w:val="clear" w:color="auto" w:fill="auto"/>
                </w:tcPr>
                <w:p w:rsidR="005A1DFB" w:rsidRDefault="009349D8" w:rsidP="00763C0C">
                  <w:pPr>
                    <w:framePr w:hSpace="141" w:wrap="around" w:hAnchor="text" w:y="615"/>
                    <w:spacing w:after="0" w:line="240" w:lineRule="auto"/>
                    <w:rPr>
                      <w:rFonts w:ascii="Times New Roman" w:hAnsi="Times New Roman"/>
                    </w:rPr>
                  </w:pPr>
                  <w:r>
                    <w:rPr>
                      <w:rFonts w:ascii="Times New Roman" w:hAnsi="Times New Roman"/>
                    </w:rPr>
                    <w:t>N100003428</w:t>
                  </w:r>
                </w:p>
              </w:tc>
              <w:tc>
                <w:tcPr>
                  <w:tcW w:w="2183" w:type="dxa"/>
                  <w:shd w:val="clear" w:color="auto" w:fill="auto"/>
                </w:tcPr>
                <w:p w:rsidR="005A1DFB" w:rsidRDefault="009349D8" w:rsidP="00763C0C">
                  <w:pPr>
                    <w:framePr w:hSpace="141" w:wrap="around" w:hAnchor="text" w:y="615"/>
                    <w:spacing w:after="0" w:line="240" w:lineRule="auto"/>
                    <w:rPr>
                      <w:rFonts w:ascii="Times New Roman" w:hAnsi="Times New Roman" w:cs="Times New Roman"/>
                      <w:sz w:val="24"/>
                      <w:szCs w:val="24"/>
                    </w:rPr>
                  </w:pPr>
                  <w:r>
                    <w:rPr>
                      <w:rFonts w:ascii="Times New Roman" w:hAnsi="Times New Roman" w:cs="Times New Roman"/>
                    </w:rPr>
                    <w:t>Puistu liituvus</w:t>
                  </w:r>
                </w:p>
              </w:tc>
              <w:tc>
                <w:tcPr>
                  <w:tcW w:w="2063" w:type="dxa"/>
                  <w:shd w:val="clear" w:color="auto" w:fill="auto"/>
                </w:tcPr>
                <w:p w:rsidR="005A1DFB" w:rsidRDefault="005A1DFB" w:rsidP="00763C0C">
                  <w:pPr>
                    <w:framePr w:hSpace="141" w:wrap="around" w:hAnchor="text" w:y="615"/>
                    <w:spacing w:after="0" w:line="240" w:lineRule="auto"/>
                    <w:rPr>
                      <w:rFonts w:ascii="Times New Roman" w:hAnsi="Times New Roman" w:cs="Times New Roman"/>
                    </w:rPr>
                  </w:pPr>
                </w:p>
              </w:tc>
              <w:tc>
                <w:tcPr>
                  <w:tcW w:w="2447" w:type="dxa"/>
                  <w:shd w:val="clear" w:color="auto" w:fill="auto"/>
                </w:tcPr>
                <w:p w:rsidR="005A1DFB" w:rsidRDefault="009349D8" w:rsidP="00763C0C">
                  <w:pPr>
                    <w:framePr w:hSpace="141" w:wrap="around" w:hAnchor="text" w:y="615"/>
                    <w:spacing w:after="0" w:line="240" w:lineRule="auto"/>
                  </w:pPr>
                  <w:r>
                    <w:rPr>
                      <w:rFonts w:ascii="Times New Roman" w:hAnsi="Times New Roman" w:cs="Times New Roman"/>
                    </w:rPr>
                    <w:t>0,1; 0,2; ... ;1,0</w:t>
                  </w:r>
                </w:p>
              </w:tc>
              <w:tc>
                <w:tcPr>
                  <w:tcW w:w="737" w:type="dxa"/>
                  <w:shd w:val="clear" w:color="auto" w:fill="auto"/>
                </w:tcPr>
                <w:p w:rsidR="005A1DFB" w:rsidRDefault="005A1DFB" w:rsidP="00763C0C">
                  <w:pPr>
                    <w:framePr w:hSpace="141" w:wrap="around" w:hAnchor="text" w:y="615"/>
                    <w:spacing w:after="0" w:line="240" w:lineRule="auto"/>
                    <w:rPr>
                      <w:rFonts w:ascii="Times New Roman" w:hAnsi="Times New Roman" w:cs="Times New Roman"/>
                    </w:rPr>
                  </w:pPr>
                </w:p>
              </w:tc>
            </w:tr>
            <w:tr w:rsidR="005A1DFB">
              <w:tc>
                <w:tcPr>
                  <w:tcW w:w="1419" w:type="dxa"/>
                  <w:tcBorders>
                    <w:right w:val="nil"/>
                  </w:tcBorders>
                  <w:shd w:val="clear" w:color="auto" w:fill="auto"/>
                </w:tcPr>
                <w:p w:rsidR="005A1DFB" w:rsidRDefault="009349D8" w:rsidP="00763C0C">
                  <w:pPr>
                    <w:framePr w:hSpace="141" w:wrap="around" w:hAnchor="text" w:y="615"/>
                    <w:spacing w:after="0" w:line="240" w:lineRule="auto"/>
                    <w:rPr>
                      <w:rFonts w:ascii="Times New Roman" w:hAnsi="Times New Roman"/>
                    </w:rPr>
                  </w:pPr>
                  <w:r>
                    <w:rPr>
                      <w:rFonts w:ascii="Times New Roman" w:hAnsi="Times New Roman"/>
                    </w:rPr>
                    <w:t>N100005265</w:t>
                  </w:r>
                </w:p>
              </w:tc>
              <w:tc>
                <w:tcPr>
                  <w:tcW w:w="2183" w:type="dxa"/>
                  <w:shd w:val="clear" w:color="auto" w:fill="auto"/>
                </w:tcPr>
                <w:p w:rsidR="005A1DFB" w:rsidRDefault="009349D8" w:rsidP="00763C0C">
                  <w:pPr>
                    <w:framePr w:hSpace="141" w:wrap="around" w:hAnchor="text" w:y="615"/>
                    <w:spacing w:after="0" w:line="240" w:lineRule="auto"/>
                    <w:rPr>
                      <w:rFonts w:ascii="Times New Roman" w:hAnsi="Times New Roman" w:cs="Times New Roman"/>
                      <w:sz w:val="24"/>
                      <w:szCs w:val="24"/>
                    </w:rPr>
                  </w:pPr>
                  <w:r>
                    <w:rPr>
                      <w:rFonts w:ascii="Times New Roman" w:hAnsi="Times New Roman" w:cs="Times New Roman"/>
                    </w:rPr>
                    <w:t>Põõsarinde ohtrus</w:t>
                  </w:r>
                </w:p>
              </w:tc>
              <w:tc>
                <w:tcPr>
                  <w:tcW w:w="2063" w:type="dxa"/>
                  <w:shd w:val="clear" w:color="auto" w:fill="auto"/>
                </w:tcPr>
                <w:p w:rsidR="005A1DFB" w:rsidRDefault="005A1DFB" w:rsidP="00763C0C">
                  <w:pPr>
                    <w:framePr w:hSpace="141" w:wrap="around" w:hAnchor="text" w:y="615"/>
                    <w:spacing w:after="0" w:line="240" w:lineRule="auto"/>
                    <w:rPr>
                      <w:rFonts w:ascii="Times New Roman" w:hAnsi="Times New Roman" w:cs="Times New Roman"/>
                    </w:rPr>
                  </w:pPr>
                </w:p>
              </w:tc>
              <w:tc>
                <w:tcPr>
                  <w:tcW w:w="2447" w:type="dxa"/>
                  <w:shd w:val="clear" w:color="auto" w:fill="auto"/>
                </w:tcPr>
                <w:p w:rsidR="005A1DFB" w:rsidRDefault="009349D8" w:rsidP="00763C0C">
                  <w:pPr>
                    <w:framePr w:hSpace="141" w:wrap="around" w:hAnchor="text" w:y="615"/>
                    <w:spacing w:after="0" w:line="240" w:lineRule="auto"/>
                    <w:rPr>
                      <w:rFonts w:ascii="Times New Roman" w:hAnsi="Times New Roman" w:cs="Times New Roman"/>
                      <w:sz w:val="24"/>
                      <w:szCs w:val="24"/>
                    </w:rPr>
                  </w:pPr>
                  <w:r>
                    <w:rPr>
                      <w:rFonts w:ascii="Times New Roman" w:hAnsi="Times New Roman" w:cs="Times New Roman"/>
                    </w:rPr>
                    <w:t>0 – puudub; 1 – üksikud; 2 – paiguti, hajusalt, gruppidena; 3 – lausaline, valdav</w:t>
                  </w:r>
                </w:p>
              </w:tc>
              <w:tc>
                <w:tcPr>
                  <w:tcW w:w="737" w:type="dxa"/>
                  <w:shd w:val="clear" w:color="auto" w:fill="auto"/>
                </w:tcPr>
                <w:p w:rsidR="005A1DFB" w:rsidRDefault="005A1DFB" w:rsidP="00763C0C">
                  <w:pPr>
                    <w:framePr w:hSpace="141" w:wrap="around" w:hAnchor="text" w:y="615"/>
                    <w:spacing w:after="0" w:line="240" w:lineRule="auto"/>
                    <w:rPr>
                      <w:rFonts w:ascii="Times New Roman" w:hAnsi="Times New Roman" w:cs="Times New Roman"/>
                    </w:rPr>
                  </w:pPr>
                </w:p>
              </w:tc>
            </w:tr>
            <w:tr w:rsidR="005A1DFB">
              <w:tc>
                <w:tcPr>
                  <w:tcW w:w="1419" w:type="dxa"/>
                  <w:tcBorders>
                    <w:top w:val="nil"/>
                    <w:right w:val="nil"/>
                  </w:tcBorders>
                  <w:shd w:val="clear" w:color="auto" w:fill="auto"/>
                </w:tcPr>
                <w:p w:rsidR="005A1DFB" w:rsidRDefault="009349D8" w:rsidP="00763C0C">
                  <w:pPr>
                    <w:framePr w:hSpace="141" w:wrap="around" w:hAnchor="text" w:y="615"/>
                    <w:spacing w:after="0" w:line="240" w:lineRule="auto"/>
                    <w:rPr>
                      <w:rFonts w:ascii="Times New Roman" w:hAnsi="Times New Roman"/>
                    </w:rPr>
                  </w:pPr>
                  <w:r>
                    <w:rPr>
                      <w:rFonts w:ascii="Times New Roman" w:hAnsi="Times New Roman"/>
                    </w:rPr>
                    <w:t>N100005794</w:t>
                  </w:r>
                </w:p>
              </w:tc>
              <w:tc>
                <w:tcPr>
                  <w:tcW w:w="2183" w:type="dxa"/>
                  <w:tcBorders>
                    <w:top w:val="nil"/>
                  </w:tcBorders>
                  <w:shd w:val="clear" w:color="auto" w:fill="auto"/>
                </w:tcPr>
                <w:p w:rsidR="005A1DFB" w:rsidRDefault="009349D8" w:rsidP="00763C0C">
                  <w:pPr>
                    <w:framePr w:hSpace="141" w:wrap="around" w:hAnchor="text" w:y="615"/>
                    <w:spacing w:after="0" w:line="240" w:lineRule="auto"/>
                    <w:rPr>
                      <w:rFonts w:ascii="Times New Roman" w:hAnsi="Times New Roman"/>
                    </w:rPr>
                  </w:pPr>
                  <w:r>
                    <w:rPr>
                      <w:rFonts w:ascii="Times New Roman" w:hAnsi="Times New Roman"/>
                    </w:rPr>
                    <w:t>Samblarinde ohtrus</w:t>
                  </w:r>
                </w:p>
              </w:tc>
              <w:tc>
                <w:tcPr>
                  <w:tcW w:w="2063" w:type="dxa"/>
                  <w:tcBorders>
                    <w:top w:val="nil"/>
                  </w:tcBorders>
                  <w:shd w:val="clear" w:color="auto" w:fill="auto"/>
                </w:tcPr>
                <w:p w:rsidR="005A1DFB" w:rsidRDefault="005A1DFB" w:rsidP="00763C0C">
                  <w:pPr>
                    <w:framePr w:hSpace="141" w:wrap="around" w:hAnchor="text" w:y="615"/>
                    <w:spacing w:after="0" w:line="240" w:lineRule="auto"/>
                    <w:rPr>
                      <w:rFonts w:ascii="Times New Roman" w:hAnsi="Times New Roman" w:cs="Times New Roman"/>
                    </w:rPr>
                  </w:pPr>
                </w:p>
              </w:tc>
              <w:tc>
                <w:tcPr>
                  <w:tcW w:w="2447" w:type="dxa"/>
                  <w:tcBorders>
                    <w:top w:val="nil"/>
                  </w:tcBorders>
                  <w:shd w:val="clear" w:color="auto" w:fill="auto"/>
                </w:tcPr>
                <w:p w:rsidR="005A1DFB" w:rsidRDefault="009349D8" w:rsidP="00763C0C">
                  <w:pPr>
                    <w:framePr w:hSpace="141" w:wrap="around" w:hAnchor="text" w:y="615"/>
                    <w:spacing w:after="0" w:line="240" w:lineRule="auto"/>
                  </w:pPr>
                  <w:r>
                    <w:rPr>
                      <w:rFonts w:ascii="Times New Roman" w:hAnsi="Times New Roman" w:cs="Times New Roman"/>
                    </w:rPr>
                    <w:t>0 – puudub; 1 – üksikud; 2 – paiguti, hajusalt, gruppidena; 3 – lausaline, valdav</w:t>
                  </w:r>
                </w:p>
              </w:tc>
              <w:tc>
                <w:tcPr>
                  <w:tcW w:w="737" w:type="dxa"/>
                  <w:tcBorders>
                    <w:top w:val="nil"/>
                  </w:tcBorders>
                  <w:shd w:val="clear" w:color="auto" w:fill="auto"/>
                </w:tcPr>
                <w:p w:rsidR="005A1DFB" w:rsidRDefault="005A1DFB" w:rsidP="00763C0C">
                  <w:pPr>
                    <w:framePr w:hSpace="141" w:wrap="around" w:hAnchor="text" w:y="615"/>
                    <w:spacing w:after="0" w:line="240" w:lineRule="auto"/>
                    <w:rPr>
                      <w:rFonts w:ascii="Times New Roman" w:hAnsi="Times New Roman" w:cs="Times New Roman"/>
                    </w:rPr>
                  </w:pPr>
                </w:p>
              </w:tc>
            </w:tr>
            <w:tr w:rsidR="005A1DFB">
              <w:tc>
                <w:tcPr>
                  <w:tcW w:w="1419" w:type="dxa"/>
                  <w:tcBorders>
                    <w:right w:val="nil"/>
                  </w:tcBorders>
                  <w:shd w:val="clear" w:color="auto" w:fill="auto"/>
                </w:tcPr>
                <w:p w:rsidR="005A1DFB" w:rsidRDefault="009349D8" w:rsidP="00763C0C">
                  <w:pPr>
                    <w:framePr w:hSpace="141" w:wrap="around" w:hAnchor="text" w:y="615"/>
                    <w:spacing w:after="0" w:line="240" w:lineRule="auto"/>
                    <w:rPr>
                      <w:rFonts w:ascii="Times New Roman" w:hAnsi="Times New Roman"/>
                    </w:rPr>
                  </w:pPr>
                  <w:r>
                    <w:rPr>
                      <w:rFonts w:ascii="Times New Roman" w:hAnsi="Times New Roman"/>
                    </w:rPr>
                    <w:t>N100003985</w:t>
                  </w:r>
                </w:p>
              </w:tc>
              <w:tc>
                <w:tcPr>
                  <w:tcW w:w="2183" w:type="dxa"/>
                  <w:shd w:val="clear" w:color="auto" w:fill="auto"/>
                </w:tcPr>
                <w:p w:rsidR="005A1DFB" w:rsidRDefault="009349D8" w:rsidP="00763C0C">
                  <w:pPr>
                    <w:framePr w:hSpace="141" w:wrap="around" w:hAnchor="text" w:y="615"/>
                    <w:spacing w:after="0" w:line="240" w:lineRule="auto"/>
                  </w:pPr>
                  <w:r>
                    <w:rPr>
                      <w:rFonts w:ascii="Times New Roman" w:hAnsi="Times New Roman" w:cs="Times New Roman"/>
                    </w:rPr>
                    <w:t>Rohu- ja puhmarinde kõrgus</w:t>
                  </w:r>
                </w:p>
              </w:tc>
              <w:tc>
                <w:tcPr>
                  <w:tcW w:w="2063" w:type="dxa"/>
                  <w:shd w:val="clear" w:color="auto" w:fill="auto"/>
                </w:tcPr>
                <w:p w:rsidR="005A1DFB" w:rsidRDefault="005A1DFB" w:rsidP="00763C0C">
                  <w:pPr>
                    <w:framePr w:hSpace="141" w:wrap="around" w:hAnchor="text" w:y="615"/>
                    <w:spacing w:after="0" w:line="240" w:lineRule="auto"/>
                    <w:rPr>
                      <w:rFonts w:ascii="Times New Roman" w:hAnsi="Times New Roman" w:cs="Times New Roman"/>
                    </w:rPr>
                  </w:pPr>
                </w:p>
              </w:tc>
              <w:tc>
                <w:tcPr>
                  <w:tcW w:w="2447" w:type="dxa"/>
                  <w:shd w:val="clear" w:color="auto" w:fill="auto"/>
                </w:tcPr>
                <w:p w:rsidR="005A1DFB" w:rsidRDefault="005A1DFB" w:rsidP="00763C0C">
                  <w:pPr>
                    <w:framePr w:hSpace="141" w:wrap="around" w:hAnchor="text" w:y="615"/>
                    <w:spacing w:after="0" w:line="240" w:lineRule="auto"/>
                    <w:rPr>
                      <w:rFonts w:ascii="Times New Roman" w:hAnsi="Times New Roman" w:cs="Times New Roman"/>
                    </w:rPr>
                  </w:pPr>
                </w:p>
              </w:tc>
              <w:tc>
                <w:tcPr>
                  <w:tcW w:w="737" w:type="dxa"/>
                  <w:shd w:val="clear" w:color="auto" w:fill="auto"/>
                </w:tcPr>
                <w:p w:rsidR="005A1DFB" w:rsidRDefault="009349D8" w:rsidP="00763C0C">
                  <w:pPr>
                    <w:framePr w:hSpace="141" w:wrap="around" w:hAnchor="text" w:y="615"/>
                    <w:spacing w:after="0" w:line="240" w:lineRule="auto"/>
                    <w:rPr>
                      <w:rFonts w:ascii="Times New Roman" w:hAnsi="Times New Roman" w:cs="Times New Roman"/>
                      <w:sz w:val="24"/>
                      <w:szCs w:val="24"/>
                    </w:rPr>
                  </w:pPr>
                  <w:r>
                    <w:rPr>
                      <w:rFonts w:ascii="Times New Roman" w:hAnsi="Times New Roman" w:cs="Times New Roman"/>
                    </w:rPr>
                    <w:t>cm</w:t>
                  </w:r>
                </w:p>
              </w:tc>
            </w:tr>
          </w:tbl>
          <w:p w:rsidR="005A1DFB" w:rsidRDefault="005A1DFB">
            <w:pPr>
              <w:spacing w:after="0"/>
              <w:rPr>
                <w:rFonts w:ascii="Times New Roman" w:hAnsi="Times New Roman" w:cs="Times New Roman"/>
                <w:sz w:val="24"/>
                <w:szCs w:val="24"/>
              </w:rPr>
            </w:pPr>
          </w:p>
          <w:p w:rsidR="005A1DFB" w:rsidRDefault="009349D8">
            <w:pPr>
              <w:spacing w:after="0"/>
            </w:pPr>
            <w:r>
              <w:rPr>
                <w:rFonts w:ascii="Times New Roman" w:hAnsi="Times New Roman" w:cs="Times New Roman"/>
                <w:b/>
                <w:sz w:val="24"/>
                <w:szCs w:val="24"/>
                <w:vertAlign w:val="superscript"/>
              </w:rPr>
              <w:t>1</w:t>
            </w:r>
            <w:r>
              <w:rPr>
                <w:rFonts w:ascii="Times New Roman" w:hAnsi="Times New Roman" w:cs="Times New Roman"/>
                <w:sz w:val="24"/>
                <w:szCs w:val="24"/>
              </w:rPr>
              <w:t xml:space="preserve"> Seireliikidel loendatakse mõõtekoha piires nn funktsionaalseid isendeid – maapinnaliikidel arvestatakse kõiki 5 m raadiuses kasvavaid viljakehasid ühe isendina, </w:t>
            </w:r>
            <w:r>
              <w:rPr>
                <w:rFonts w:ascii="Times New Roman" w:hAnsi="Times New Roman" w:cs="Times New Roman"/>
                <w:sz w:val="24"/>
                <w:szCs w:val="24"/>
              </w:rPr>
              <w:lastRenderedPageBreak/>
              <w:t>substraadil (elus puu või kõdupuit) kasvavatel liikidel moodustab funktsionaalse isendi üks liigi poolt asustatud substraadiüksus.</w:t>
            </w:r>
          </w:p>
          <w:p w:rsidR="005A1DFB" w:rsidRDefault="009349D8">
            <w:pPr>
              <w:spacing w:after="0"/>
            </w:pPr>
            <w:r>
              <w:rPr>
                <w:rFonts w:ascii="Times New Roman" w:hAnsi="Times New Roman" w:cs="Times New Roman"/>
                <w:b/>
                <w:sz w:val="24"/>
                <w:szCs w:val="24"/>
                <w:vertAlign w:val="superscript"/>
              </w:rPr>
              <w:t>2</w:t>
            </w:r>
            <w:r>
              <w:rPr>
                <w:rFonts w:ascii="Times New Roman" w:hAnsi="Times New Roman" w:cs="Times New Roman"/>
                <w:sz w:val="24"/>
                <w:szCs w:val="24"/>
              </w:rPr>
              <w:t xml:space="preserve"> Maapinnal kasvavatel liikidel substraadi ohtrust ei hinnata. Kui seireliik kasvab puutüvel, märgitakse asustatud puuliigid kommentaari veerus kasutatades metsanduslikke lühendeid: HB – haab, JA – jalakas, KP – künnapuu, KS – aru- ja sookask, KU – kuusk, LM – sanglepp, LV – hall lepp, MA – mänd, OP – õunapuu, PI – pihlakas (puukujuline), PN – pärn, PP – pooppuu, RE – puukujulised pajuliigid, SA – saar, TA – tamm, TM – toomingas (puukujuline), VA – vaher.</w:t>
            </w:r>
          </w:p>
          <w:p w:rsidR="005A1DFB" w:rsidRDefault="009349D8">
            <w:pPr>
              <w:spacing w:after="0"/>
            </w:pPr>
            <w:r>
              <w:rPr>
                <w:rFonts w:ascii="Times New Roman" w:hAnsi="Times New Roman" w:cs="Times New Roman"/>
                <w:b/>
                <w:sz w:val="24"/>
                <w:szCs w:val="24"/>
                <w:vertAlign w:val="superscript"/>
              </w:rPr>
              <w:t xml:space="preserve">3 </w:t>
            </w:r>
            <w:r>
              <w:rPr>
                <w:rFonts w:ascii="Times New Roman" w:hAnsi="Times New Roman" w:cs="Times New Roman"/>
                <w:sz w:val="24"/>
                <w:szCs w:val="24"/>
              </w:rPr>
              <w:t>Mõõdetakse kuni kolmel jämedamal substraadina asustatud puutüve või kõdupuidu üksusel, registreeritakse kolme keskmine läbimõõt.</w:t>
            </w:r>
          </w:p>
          <w:p w:rsidR="005A1DFB" w:rsidRDefault="009349D8">
            <w:pPr>
              <w:spacing w:after="0"/>
            </w:pPr>
            <w:r>
              <w:rPr>
                <w:rFonts w:ascii="Times New Roman" w:hAnsi="Times New Roman" w:cs="Times New Roman"/>
                <w:b/>
                <w:sz w:val="24"/>
                <w:szCs w:val="24"/>
                <w:vertAlign w:val="superscript"/>
              </w:rPr>
              <w:t>4</w:t>
            </w:r>
            <w:r>
              <w:rPr>
                <w:rFonts w:ascii="Times New Roman" w:hAnsi="Times New Roman" w:cs="Times New Roman"/>
                <w:sz w:val="24"/>
                <w:szCs w:val="24"/>
              </w:rPr>
              <w:t xml:space="preserve"> Näitajat kasutatakse puistu kooseisu kirjeldamiseks.</w:t>
            </w:r>
          </w:p>
          <w:p w:rsidR="005A1DFB" w:rsidRDefault="005A1DFB">
            <w:pPr>
              <w:spacing w:after="0"/>
              <w:rPr>
                <w:rFonts w:ascii="Times New Roman" w:hAnsi="Times New Roman" w:cs="Times New Roman"/>
                <w:sz w:val="24"/>
                <w:szCs w:val="24"/>
              </w:rPr>
            </w:pPr>
          </w:p>
          <w:p w:rsidR="005A1DFB" w:rsidRDefault="005A1DFB">
            <w:pPr>
              <w:spacing w:after="0"/>
              <w:rPr>
                <w:rFonts w:ascii="Times New Roman" w:hAnsi="Times New Roman" w:cs="Times New Roman"/>
                <w:sz w:val="24"/>
                <w:szCs w:val="24"/>
              </w:rPr>
            </w:pPr>
          </w:p>
        </w:tc>
      </w:tr>
      <w:tr w:rsidR="005A1DFB">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5A1DFB" w:rsidRDefault="009349D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Meetod</w:t>
            </w:r>
          </w:p>
          <w:p w:rsidR="005A1DFB" w:rsidRDefault="005A1DFB">
            <w:pPr>
              <w:spacing w:after="0" w:line="240" w:lineRule="auto"/>
              <w:jc w:val="both"/>
              <w:rPr>
                <w:rFonts w:ascii="Times New Roman" w:hAnsi="Times New Roman" w:cs="Times New Roman"/>
                <w:sz w:val="24"/>
                <w:szCs w:val="24"/>
              </w:rPr>
            </w:pPr>
          </w:p>
          <w:p w:rsidR="005A1DFB" w:rsidRDefault="009349D8">
            <w:pPr>
              <w:spacing w:after="0" w:line="240" w:lineRule="auto"/>
              <w:jc w:val="both"/>
            </w:pPr>
            <w:r>
              <w:rPr>
                <w:rFonts w:ascii="Times New Roman" w:hAnsi="Times New Roman" w:cs="Times New Roman"/>
                <w:sz w:val="24"/>
                <w:szCs w:val="24"/>
              </w:rPr>
              <w:t>Seireala külastatakse iga sihtliigi vaatlusteks võimalikult optimaalsel ajal, vajadusel viiakse läbi kordusvaatlusi. Seirealadel, kus esineb mitmeid seire lähteülesandes nimetatud kaitsealuseid liike (seire sihtliigid), järgitakse alltoodud metoodikat iga sihtliigi kohta eraldi. Sihtliikide seire läbiviimise käigus pööratakse tähelepanu samadel seirealadel registreeritud III kaitsekategooria liikide leiukohtadele, nende liikide tuvastamisel registreeritakse leiuandmed punktkoordinaatidena mõistliku sagedusega, mõõtealadel põhinevaid parameetreid neil liikidel ei ole kohustus registreerida.</w:t>
            </w:r>
          </w:p>
          <w:p w:rsidR="005A1DFB" w:rsidRDefault="005A1DFB">
            <w:pPr>
              <w:spacing w:after="0" w:line="240" w:lineRule="auto"/>
              <w:jc w:val="both"/>
              <w:rPr>
                <w:rFonts w:ascii="Times New Roman" w:hAnsi="Times New Roman" w:cs="Times New Roman"/>
                <w:sz w:val="24"/>
                <w:szCs w:val="24"/>
              </w:rPr>
            </w:pPr>
          </w:p>
          <w:p w:rsidR="005A1DFB" w:rsidRDefault="009349D8">
            <w:pPr>
              <w:spacing w:after="0" w:line="240" w:lineRule="auto"/>
              <w:jc w:val="both"/>
            </w:pPr>
            <w:r>
              <w:rPr>
                <w:rFonts w:ascii="Times New Roman" w:hAnsi="Times New Roman" w:cs="Times New Roman"/>
                <w:sz w:val="24"/>
                <w:szCs w:val="24"/>
              </w:rPr>
              <w:t>Seire sihtliigi vaatlusala koosneb sihtmõõtekohast ning vajadusel lisamõõtekohtadest (mõõtekoha pindala on 0.1 ha) ja nendega seotud 200</w:t>
            </w:r>
            <w:r>
              <w:rPr>
                <w:rFonts w:ascii="Times New Roman" w:hAnsi="Times New Roman" w:cs="Times New Roman"/>
                <w:sz w:val="24"/>
                <w:szCs w:val="24"/>
              </w:rPr>
              <w:noBreakHyphen/>
              <w:t>500 m pikkusest transektist (so. tinglikult 10 m laiune murdjooneline teekond sihtmõõtekohta, mis võib koosneda ka edasi-tagasi teekonnast, jälgides et liikumistrajektoori ribaalad ei kattu).</w:t>
            </w:r>
          </w:p>
          <w:p w:rsidR="005A1DFB" w:rsidRDefault="005A1DFB">
            <w:pPr>
              <w:spacing w:after="0" w:line="240" w:lineRule="auto"/>
              <w:jc w:val="both"/>
              <w:rPr>
                <w:rFonts w:ascii="Times New Roman" w:hAnsi="Times New Roman" w:cs="Times New Roman"/>
                <w:sz w:val="24"/>
                <w:szCs w:val="24"/>
              </w:rPr>
            </w:pPr>
          </w:p>
          <w:p w:rsidR="005A1DFB" w:rsidRDefault="009349D8">
            <w:pPr>
              <w:pStyle w:val="Loendilik"/>
              <w:spacing w:after="0" w:line="240" w:lineRule="auto"/>
              <w:jc w:val="both"/>
            </w:pPr>
            <w:r>
              <w:rPr>
                <w:rFonts w:ascii="Times New Roman" w:hAnsi="Times New Roman" w:cs="Times New Roman"/>
                <w:sz w:val="24"/>
                <w:szCs w:val="24"/>
              </w:rPr>
              <w:t>Seireandmed iga seireliigi kohta kogutakse alati sihtmõõtekohas ja vajadusel lisamõõtekohtades (seireliigi esimene tuvastatud leidumiskoht transektil; seireliigi suurima ohtrusega asukoht; seireliigi mitte-esinemisel sobiva substraadiga elupaiga asukoht). Lisamõõtekohta ei kirjeldata, kui teekonnal sihtmõõtekohta seireliiki ega liigile sobivat elupaika ja substraati ei leidu.</w:t>
            </w:r>
          </w:p>
          <w:p w:rsidR="005A1DFB" w:rsidRDefault="005A1DFB">
            <w:pPr>
              <w:spacing w:after="0" w:line="240" w:lineRule="auto"/>
              <w:jc w:val="both"/>
              <w:rPr>
                <w:rFonts w:ascii="Times New Roman" w:hAnsi="Times New Roman" w:cs="Times New Roman"/>
                <w:sz w:val="24"/>
                <w:szCs w:val="24"/>
              </w:rPr>
            </w:pPr>
          </w:p>
          <w:p w:rsidR="005A1DFB" w:rsidRDefault="009349D8">
            <w:pPr>
              <w:spacing w:after="0" w:line="240" w:lineRule="auto"/>
              <w:jc w:val="both"/>
            </w:pPr>
            <w:r>
              <w:rPr>
                <w:rFonts w:ascii="Times New Roman" w:hAnsi="Times New Roman" w:cs="Times New Roman"/>
                <w:sz w:val="24"/>
                <w:szCs w:val="24"/>
              </w:rPr>
              <w:t xml:space="preserve">Sihtmõõtekoha keskkoht (sihtpunkt) on Tellija (KAUR) poolt seireliigi teadaolevate leiukohtades KLO-objektide piires juhuslikult genereeritud punkt, mis antakse ette seiretöö lähteülesandes. Seireaja võib sihtmõõtekoha asukohta korrigeerida kuni 20 m ulatuses sihtpunktist seireliigi või talle kohase mikroelupaiga (substraat) suurima ohtrusega asukohale. Kui suurima ohtrusega ala jääb etteantud sihtpunktist kaugemale kui 20 m, </w:t>
            </w:r>
            <w:r w:rsidR="00DB5AD2">
              <w:rPr>
                <w:rFonts w:ascii="Times New Roman" w:hAnsi="Times New Roman" w:cs="Times New Roman"/>
                <w:sz w:val="24"/>
                <w:szCs w:val="24"/>
              </w:rPr>
              <w:t>registreeritakse ja kirjeldatakse seal</w:t>
            </w:r>
            <w:r>
              <w:rPr>
                <w:rFonts w:ascii="Times New Roman" w:hAnsi="Times New Roman" w:cs="Times New Roman"/>
                <w:sz w:val="24"/>
                <w:szCs w:val="24"/>
              </w:rPr>
              <w:t xml:space="preserve"> lisamõõtekoht. </w:t>
            </w:r>
          </w:p>
          <w:p w:rsidR="005A1DFB" w:rsidRDefault="005A1DFB">
            <w:pPr>
              <w:spacing w:after="0" w:line="240" w:lineRule="auto"/>
              <w:jc w:val="both"/>
              <w:rPr>
                <w:rFonts w:ascii="Times New Roman" w:hAnsi="Times New Roman" w:cs="Times New Roman"/>
                <w:sz w:val="24"/>
                <w:szCs w:val="24"/>
              </w:rPr>
            </w:pPr>
          </w:p>
          <w:p w:rsidR="005A1DFB" w:rsidRDefault="009349D8">
            <w:pPr>
              <w:spacing w:after="0" w:line="240" w:lineRule="auto"/>
              <w:jc w:val="both"/>
            </w:pPr>
            <w:r>
              <w:rPr>
                <w:rFonts w:ascii="Times New Roman" w:hAnsi="Times New Roman" w:cs="Times New Roman"/>
                <w:sz w:val="24"/>
                <w:szCs w:val="24"/>
              </w:rPr>
              <w:t xml:space="preserve">Transekt sihtmõõtekohani on seiraja valida, see peab võimalusel läbima naabruses asuvaid </w:t>
            </w:r>
            <w:r w:rsidR="00DB5AD2">
              <w:rPr>
                <w:rFonts w:ascii="Times New Roman" w:hAnsi="Times New Roman" w:cs="Times New Roman"/>
                <w:sz w:val="24"/>
                <w:szCs w:val="24"/>
              </w:rPr>
              <w:t>sama sihtliigi registreeritud leiukoha</w:t>
            </w:r>
            <w:r>
              <w:rPr>
                <w:rFonts w:ascii="Times New Roman" w:hAnsi="Times New Roman" w:cs="Times New Roman"/>
                <w:sz w:val="24"/>
                <w:szCs w:val="24"/>
              </w:rPr>
              <w:t>objekte ning -alamobjekte ja teadaolevaid liigile sobivaid biotoope, kasutades asjakohaseid infoallikad (näiteks erinevad teemakaardid või seiraja(te) varasem kogemus jmt). Kui transekt-teekonnal sihtmõõtekohta tuvastatakse seireliigi esinemine, siis esimeses leidumise kohas registreeritakse lisamõõtekoht ja kirjeldatakse kõik seireparameetrid (tabel 1) 0,1 ha suurusel alal. Edaspidi registreeritakse liigi esinemine punktkoordinaatidega (sagedusega üks punkt ca 10 m kohta). Kui transekt-</w:t>
            </w:r>
            <w:r>
              <w:rPr>
                <w:rFonts w:ascii="Times New Roman" w:hAnsi="Times New Roman" w:cs="Times New Roman"/>
                <w:sz w:val="24"/>
                <w:szCs w:val="24"/>
              </w:rPr>
              <w:lastRenderedPageBreak/>
              <w:t>teekonnal liiki ei esine, kuid tuvastatakse seireliigile sobiva elupaiga olemasolu, kogutakse mõõtekohas seireandmed vähendatud mahus hõlmates näitajad:</w:t>
            </w:r>
          </w:p>
          <w:p w:rsidR="005A1DFB" w:rsidRDefault="009349D8">
            <w:pPr>
              <w:pStyle w:val="Loendilik"/>
              <w:numPr>
                <w:ilvl w:val="0"/>
                <w:numId w:val="3"/>
              </w:numPr>
              <w:spacing w:after="0" w:line="240" w:lineRule="auto"/>
              <w:jc w:val="both"/>
            </w:pPr>
            <w:r>
              <w:rPr>
                <w:rFonts w:ascii="Times New Roman" w:hAnsi="Times New Roman" w:cs="Times New Roman"/>
                <w:sz w:val="24"/>
                <w:szCs w:val="24"/>
              </w:rPr>
              <w:t>Liigi isendite arv (väärtus: '0');</w:t>
            </w:r>
          </w:p>
          <w:p w:rsidR="005A1DFB" w:rsidRDefault="009349D8">
            <w:pPr>
              <w:pStyle w:val="Loendilik"/>
              <w:numPr>
                <w:ilvl w:val="0"/>
                <w:numId w:val="3"/>
              </w:numPr>
              <w:spacing w:after="0" w:line="240" w:lineRule="auto"/>
              <w:jc w:val="both"/>
            </w:pPr>
            <w:r>
              <w:rPr>
                <w:rFonts w:ascii="Times New Roman" w:hAnsi="Times New Roman" w:cs="Times New Roman"/>
                <w:sz w:val="24"/>
                <w:szCs w:val="24"/>
              </w:rPr>
              <w:t>Mikroelupaiga (substraadi) ohtrus (v.a. maapinnal kasvavad liigid</w:t>
            </w:r>
            <w:bookmarkStart w:id="2" w:name="_GoBack1"/>
            <w:bookmarkEnd w:id="2"/>
            <w:r>
              <w:rPr>
                <w:rFonts w:ascii="Times New Roman" w:hAnsi="Times New Roman" w:cs="Times New Roman"/>
                <w:sz w:val="24"/>
                <w:szCs w:val="24"/>
              </w:rPr>
              <w:t>);</w:t>
            </w:r>
          </w:p>
          <w:p w:rsidR="005A1DFB" w:rsidRDefault="009349D8">
            <w:pPr>
              <w:pStyle w:val="Loendilik"/>
              <w:numPr>
                <w:ilvl w:val="0"/>
                <w:numId w:val="3"/>
              </w:numPr>
              <w:spacing w:after="0" w:line="240" w:lineRule="auto"/>
              <w:jc w:val="both"/>
            </w:pPr>
            <w:r>
              <w:rPr>
                <w:rFonts w:ascii="Times New Roman" w:hAnsi="Times New Roman" w:cs="Times New Roman"/>
                <w:sz w:val="24"/>
                <w:szCs w:val="24"/>
              </w:rPr>
              <w:t>Kasvukohatüüp (Paal) (vähemalt klassi tase).</w:t>
            </w:r>
          </w:p>
          <w:p w:rsidR="005A1DFB" w:rsidRDefault="005A1DFB">
            <w:pPr>
              <w:pStyle w:val="Loendilik"/>
              <w:spacing w:after="0" w:line="240" w:lineRule="auto"/>
              <w:jc w:val="both"/>
              <w:rPr>
                <w:rFonts w:ascii="Times New Roman" w:hAnsi="Times New Roman" w:cs="Times New Roman"/>
                <w:sz w:val="24"/>
                <w:szCs w:val="24"/>
              </w:rPr>
            </w:pPr>
          </w:p>
          <w:p w:rsidR="005A1DFB" w:rsidRDefault="009349D8">
            <w:pPr>
              <w:spacing w:after="0" w:line="240" w:lineRule="auto"/>
              <w:jc w:val="both"/>
            </w:pPr>
            <w:r>
              <w:rPr>
                <w:rFonts w:ascii="Times New Roman" w:hAnsi="Times New Roman" w:cs="Times New Roman"/>
                <w:sz w:val="24"/>
                <w:szCs w:val="24"/>
              </w:rPr>
              <w:t>Seireliikide tuvastatud esinemiskohtade punktkoordinaadid esitatakse seiretöö</w:t>
            </w:r>
            <w:r w:rsidR="00DB5AD2">
              <w:rPr>
                <w:rFonts w:ascii="Times New Roman" w:hAnsi="Times New Roman" w:cs="Times New Roman"/>
                <w:sz w:val="24"/>
                <w:szCs w:val="24"/>
              </w:rPr>
              <w:t xml:space="preserve"> aruandele</w:t>
            </w:r>
            <w:r>
              <w:rPr>
                <w:rFonts w:ascii="Times New Roman" w:hAnsi="Times New Roman" w:cs="Times New Roman"/>
                <w:sz w:val="24"/>
                <w:szCs w:val="24"/>
              </w:rPr>
              <w:t xml:space="preserve"> </w:t>
            </w:r>
            <w:r w:rsidR="00DB5AD2">
              <w:rPr>
                <w:rFonts w:ascii="Times New Roman" w:hAnsi="Times New Roman" w:cs="Times New Roman"/>
                <w:sz w:val="24"/>
                <w:szCs w:val="24"/>
              </w:rPr>
              <w:t>lisatud ruumiandmefailis punktipilvena iga leiukoha kohta</w:t>
            </w:r>
            <w:r>
              <w:rPr>
                <w:rFonts w:ascii="Times New Roman" w:hAnsi="Times New Roman" w:cs="Times New Roman"/>
                <w:sz w:val="24"/>
                <w:szCs w:val="24"/>
              </w:rPr>
              <w:t xml:space="preserve"> või sisestatakse LVA kaudu iga liigi</w:t>
            </w:r>
            <w:r w:rsidR="00DB5AD2">
              <w:rPr>
                <w:rFonts w:ascii="Times New Roman" w:hAnsi="Times New Roman" w:cs="Times New Roman"/>
                <w:sz w:val="24"/>
                <w:szCs w:val="24"/>
              </w:rPr>
              <w:t xml:space="preserve"> leiukoha</w:t>
            </w:r>
            <w:r>
              <w:rPr>
                <w:rFonts w:ascii="Times New Roman" w:hAnsi="Times New Roman" w:cs="Times New Roman"/>
                <w:sz w:val="24"/>
                <w:szCs w:val="24"/>
              </w:rPr>
              <w:t xml:space="preserve"> kohta eraldi.</w:t>
            </w:r>
          </w:p>
          <w:p w:rsidR="005A1DFB" w:rsidRDefault="005A1DFB">
            <w:pPr>
              <w:spacing w:after="0" w:line="240" w:lineRule="auto"/>
              <w:jc w:val="both"/>
              <w:rPr>
                <w:rFonts w:ascii="Times New Roman" w:hAnsi="Times New Roman" w:cs="Times New Roman"/>
                <w:sz w:val="24"/>
                <w:szCs w:val="24"/>
              </w:rPr>
            </w:pPr>
          </w:p>
          <w:p w:rsidR="005A1DFB" w:rsidRDefault="0093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Kui seireliigi määramine on välitingimustes raskendatud, siis kogutakse liigi määramiseks mõõtekohast kaasa kuni kolm nõuetekohaselt herbariseeritud ja registreeritud proovi (2 cm tükk mitmeaastase viljakehaga liikidel, 1-2 viljakeha üheaastaste viljakehaga liigil) hilisemaks määrangu kinnitamiseks vältides liigi seisundi kahjustamist seire käigus.</w:t>
            </w:r>
          </w:p>
          <w:p w:rsidR="005A1DFB" w:rsidRDefault="0093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Proovid võetakse järgmistel juhtudel:</w:t>
            </w:r>
          </w:p>
          <w:p w:rsidR="005A1DFB" w:rsidRDefault="009349D8">
            <w:pPr>
              <w:pStyle w:val="Loendilik"/>
              <w:numPr>
                <w:ilvl w:val="0"/>
                <w:numId w:val="2"/>
              </w:numPr>
              <w:spacing w:after="0" w:line="240" w:lineRule="auto"/>
              <w:jc w:val="both"/>
            </w:pPr>
            <w:r>
              <w:rPr>
                <w:rFonts w:ascii="Times New Roman" w:hAnsi="Times New Roman" w:cs="Times New Roman"/>
                <w:sz w:val="24"/>
                <w:szCs w:val="24"/>
              </w:rPr>
              <w:t>leiukohas varem registreerimata haruldastest liikidest;</w:t>
            </w:r>
          </w:p>
          <w:p w:rsidR="005A1DFB" w:rsidRDefault="009349D8">
            <w:pPr>
              <w:pStyle w:val="Loendilik"/>
              <w:numPr>
                <w:ilvl w:val="0"/>
                <w:numId w:val="2"/>
              </w:numPr>
              <w:spacing w:after="0" w:line="240" w:lineRule="auto"/>
              <w:jc w:val="both"/>
            </w:pPr>
            <w:r>
              <w:rPr>
                <w:rFonts w:ascii="Times New Roman" w:hAnsi="Times New Roman" w:cs="Times New Roman"/>
                <w:sz w:val="24"/>
                <w:szCs w:val="24"/>
              </w:rPr>
              <w:t>välitingimustes halvasti määratavatest liikidest (näiteks: heleda liibuva viljakehaga torikseened);</w:t>
            </w:r>
          </w:p>
          <w:p w:rsidR="005A1DFB" w:rsidRDefault="009349D8">
            <w:pPr>
              <w:pStyle w:val="Loendilik"/>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tavalistest liikidest, juhul kui nende kasvukoht on ebatavaline. </w:t>
            </w:r>
          </w:p>
          <w:p w:rsidR="005A1DFB" w:rsidRDefault="0093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Proovid tuleb võimalikult kiiresti kuivatada spetsiaalses kuivatis max 30-40°C juures (see võimaldab vajadusel täiendava liigimäärangute kontrolli molekulaarsete meetodite abil).</w:t>
            </w:r>
          </w:p>
          <w:p w:rsidR="005A1DFB" w:rsidRDefault="0093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Proovivõtu korral on seiraja ülesanne määrata võetud proovidest liik ja määrang fikseerida seire andmetabelis. Kogutud proovid tuleb talletada rahvusvaheliselt tunnustatud Eesti seenekogus (TU või TAAM) ja kõik sellega seotud andmed (leiukoht, koosluse kirjeldus, substraat, seotud taksonid jm) sisestada vastava kogu andmebaasi.</w:t>
            </w:r>
          </w:p>
          <w:p w:rsidR="005A1DFB" w:rsidRDefault="005A1DFB">
            <w:pPr>
              <w:spacing w:after="0" w:line="240" w:lineRule="auto"/>
              <w:jc w:val="both"/>
              <w:rPr>
                <w:rFonts w:ascii="Times New Roman" w:hAnsi="Times New Roman" w:cs="Times New Roman"/>
                <w:sz w:val="24"/>
                <w:szCs w:val="24"/>
              </w:rPr>
            </w:pPr>
          </w:p>
          <w:p w:rsidR="005A1DFB" w:rsidRDefault="009349D8">
            <w:pPr>
              <w:spacing w:after="0" w:line="240" w:lineRule="auto"/>
              <w:jc w:val="both"/>
            </w:pPr>
            <w:r>
              <w:rPr>
                <w:rFonts w:ascii="Times New Roman" w:hAnsi="Times New Roman" w:cs="Times New Roman"/>
                <w:sz w:val="24"/>
                <w:szCs w:val="24"/>
              </w:rPr>
              <w:t>Juhul, kui seire käigus tuvastatakse mõni seirealal seni r</w:t>
            </w:r>
            <w:r w:rsidR="00DB5AD2">
              <w:rPr>
                <w:rFonts w:ascii="Times New Roman" w:hAnsi="Times New Roman" w:cs="Times New Roman"/>
                <w:sz w:val="24"/>
                <w:szCs w:val="24"/>
              </w:rPr>
              <w:t xml:space="preserve">egistreerimata kaitsealune </w:t>
            </w:r>
            <w:r>
              <w:rPr>
                <w:rFonts w:ascii="Times New Roman" w:hAnsi="Times New Roman" w:cs="Times New Roman"/>
                <w:sz w:val="24"/>
                <w:szCs w:val="24"/>
              </w:rPr>
              <w:t xml:space="preserve">liik, tuleb liigi vaatlus sisestada kas LVA kaudu Eesti Looduse Infosüsteemi (EELIS) või esitada liigi vaatlus koos koordinaatidega Keskkonnaagentuurile keskkonnaregistri leiukohtade registreerimiseks ette antud </w:t>
            </w:r>
            <w:r w:rsidR="00DB5AD2">
              <w:rPr>
                <w:rFonts w:ascii="Times New Roman" w:hAnsi="Times New Roman" w:cs="Times New Roman"/>
                <w:sz w:val="24"/>
                <w:szCs w:val="24"/>
              </w:rPr>
              <w:t>andmeformaadis</w:t>
            </w:r>
            <w:r>
              <w:rPr>
                <w:rFonts w:ascii="Times New Roman" w:hAnsi="Times New Roman" w:cs="Times New Roman"/>
                <w:sz w:val="24"/>
                <w:szCs w:val="24"/>
              </w:rPr>
              <w:t>.</w:t>
            </w:r>
          </w:p>
          <w:p w:rsidR="005A1DFB" w:rsidRDefault="005A1DFB">
            <w:pPr>
              <w:spacing w:after="0" w:line="240" w:lineRule="auto"/>
              <w:jc w:val="both"/>
              <w:rPr>
                <w:rFonts w:ascii="Times New Roman" w:hAnsi="Times New Roman" w:cs="Times New Roman"/>
                <w:sz w:val="24"/>
                <w:szCs w:val="24"/>
              </w:rPr>
            </w:pPr>
          </w:p>
        </w:tc>
      </w:tr>
      <w:tr w:rsidR="005A1DFB">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5A1DFB" w:rsidRDefault="009349D8">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Sagedus</w:t>
            </w:r>
          </w:p>
          <w:p w:rsidR="005A1DFB" w:rsidRDefault="005A1DFB">
            <w:pPr>
              <w:spacing w:after="0" w:line="240" w:lineRule="auto"/>
              <w:jc w:val="both"/>
              <w:rPr>
                <w:rFonts w:ascii="Times New Roman" w:hAnsi="Times New Roman" w:cs="Times New Roman"/>
                <w:sz w:val="24"/>
                <w:szCs w:val="24"/>
              </w:rPr>
            </w:pPr>
          </w:p>
          <w:p w:rsidR="005A1DFB" w:rsidRDefault="007867D1">
            <w:pPr>
              <w:spacing w:after="0" w:line="240" w:lineRule="auto"/>
              <w:jc w:val="both"/>
            </w:pPr>
            <w:r>
              <w:rPr>
                <w:rFonts w:ascii="Times New Roman" w:hAnsi="Times New Roman" w:cs="Times New Roman"/>
                <w:sz w:val="24"/>
                <w:szCs w:val="24"/>
              </w:rPr>
              <w:t>Seiresamm</w:t>
            </w:r>
            <w:r w:rsidR="009349D8">
              <w:rPr>
                <w:rFonts w:ascii="Times New Roman" w:hAnsi="Times New Roman" w:cs="Times New Roman"/>
                <w:sz w:val="24"/>
                <w:szCs w:val="24"/>
              </w:rPr>
              <w:t xml:space="preserve"> </w:t>
            </w:r>
            <w:r>
              <w:rPr>
                <w:rFonts w:ascii="Times New Roman" w:hAnsi="Times New Roman" w:cs="Times New Roman"/>
                <w:sz w:val="24"/>
                <w:szCs w:val="24"/>
              </w:rPr>
              <w:t>seirealadel on keskmiselt 3 aastat.</w:t>
            </w:r>
            <w:r w:rsidR="009349D8">
              <w:rPr>
                <w:rFonts w:ascii="Times New Roman" w:hAnsi="Times New Roman" w:cs="Times New Roman"/>
                <w:sz w:val="24"/>
                <w:szCs w:val="24"/>
              </w:rPr>
              <w:t xml:space="preserve"> Mõnede leiukohtade seires (linnakeskkond, </w:t>
            </w:r>
            <w:r w:rsidR="00DB5AD2">
              <w:rPr>
                <w:rFonts w:ascii="Times New Roman" w:hAnsi="Times New Roman" w:cs="Times New Roman"/>
                <w:sz w:val="24"/>
                <w:szCs w:val="24"/>
              </w:rPr>
              <w:t xml:space="preserve">üksikpuud, </w:t>
            </w:r>
            <w:r w:rsidR="009349D8">
              <w:rPr>
                <w:rFonts w:ascii="Times New Roman" w:hAnsi="Times New Roman" w:cs="Times New Roman"/>
                <w:sz w:val="24"/>
                <w:szCs w:val="24"/>
              </w:rPr>
              <w:t>taluõued jm)</w:t>
            </w:r>
            <w:r>
              <w:rPr>
                <w:rFonts w:ascii="Times New Roman" w:hAnsi="Times New Roman" w:cs="Times New Roman"/>
                <w:sz w:val="24"/>
                <w:szCs w:val="24"/>
              </w:rPr>
              <w:t xml:space="preserve"> on mõistlik võimalusel kaasata vabatahtlikke</w:t>
            </w:r>
            <w:r w:rsidR="002C2CBD">
              <w:rPr>
                <w:rFonts w:ascii="Times New Roman" w:hAnsi="Times New Roman" w:cs="Times New Roman"/>
                <w:sz w:val="24"/>
                <w:szCs w:val="24"/>
              </w:rPr>
              <w:t xml:space="preserve"> andmete</w:t>
            </w:r>
            <w:r>
              <w:rPr>
                <w:rFonts w:ascii="Times New Roman" w:hAnsi="Times New Roman" w:cs="Times New Roman"/>
                <w:sz w:val="24"/>
                <w:szCs w:val="24"/>
              </w:rPr>
              <w:t xml:space="preserve"> </w:t>
            </w:r>
            <w:r w:rsidR="002C2CBD">
              <w:rPr>
                <w:rFonts w:ascii="Times New Roman" w:hAnsi="Times New Roman" w:cs="Times New Roman"/>
                <w:sz w:val="24"/>
                <w:szCs w:val="24"/>
              </w:rPr>
              <w:t>sagedasemaks</w:t>
            </w:r>
            <w:r>
              <w:rPr>
                <w:rFonts w:ascii="Times New Roman" w:hAnsi="Times New Roman" w:cs="Times New Roman"/>
                <w:sz w:val="24"/>
                <w:szCs w:val="24"/>
              </w:rPr>
              <w:t xml:space="preserve"> kogumiseks</w:t>
            </w:r>
            <w:r w:rsidR="002C2CBD">
              <w:rPr>
                <w:rFonts w:ascii="Times New Roman" w:hAnsi="Times New Roman" w:cs="Times New Roman"/>
                <w:sz w:val="24"/>
                <w:szCs w:val="24"/>
              </w:rPr>
              <w:t xml:space="preserve">. Sellisel juhul </w:t>
            </w:r>
            <w:r w:rsidR="00DB5AD2">
              <w:rPr>
                <w:rFonts w:ascii="Times New Roman" w:hAnsi="Times New Roman" w:cs="Times New Roman"/>
                <w:sz w:val="24"/>
                <w:szCs w:val="24"/>
              </w:rPr>
              <w:t>võib</w:t>
            </w:r>
            <w:r w:rsidR="009349D8">
              <w:rPr>
                <w:rFonts w:ascii="Times New Roman" w:hAnsi="Times New Roman" w:cs="Times New Roman"/>
                <w:sz w:val="24"/>
                <w:szCs w:val="24"/>
              </w:rPr>
              <w:t xml:space="preserve"> kasutada vähendatud seireankeeti (liigi isendite ohtrus, substraadi ohtrus) või a</w:t>
            </w:r>
            <w:r w:rsidR="002C2CBD">
              <w:rPr>
                <w:rFonts w:ascii="Times New Roman" w:hAnsi="Times New Roman" w:cs="Times New Roman"/>
                <w:sz w:val="24"/>
                <w:szCs w:val="24"/>
              </w:rPr>
              <w:t>inult ’jah/ei’</w:t>
            </w:r>
            <w:r w:rsidR="009349D8">
              <w:rPr>
                <w:rFonts w:ascii="Times New Roman" w:hAnsi="Times New Roman" w:cs="Times New Roman"/>
                <w:sz w:val="24"/>
                <w:szCs w:val="24"/>
              </w:rPr>
              <w:t xml:space="preserve"> andmestik liigi esinemise kohta.</w:t>
            </w:r>
          </w:p>
          <w:p w:rsidR="005A1DFB" w:rsidRDefault="005A1DFB">
            <w:pPr>
              <w:spacing w:after="0" w:line="240" w:lineRule="auto"/>
              <w:jc w:val="both"/>
              <w:rPr>
                <w:rFonts w:ascii="Times New Roman" w:hAnsi="Times New Roman" w:cs="Times New Roman"/>
                <w:sz w:val="24"/>
                <w:szCs w:val="24"/>
              </w:rPr>
            </w:pPr>
          </w:p>
        </w:tc>
      </w:tr>
      <w:tr w:rsidR="005A1DFB">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5A1DFB" w:rsidRDefault="009349D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Seirevõrk</w:t>
            </w:r>
          </w:p>
          <w:p w:rsidR="005A1DFB" w:rsidRDefault="005A1DFB">
            <w:pPr>
              <w:spacing w:after="0" w:line="240" w:lineRule="auto"/>
              <w:rPr>
                <w:rFonts w:ascii="Times New Roman" w:hAnsi="Times New Roman" w:cs="Times New Roman"/>
                <w:sz w:val="24"/>
                <w:szCs w:val="24"/>
              </w:rPr>
            </w:pPr>
          </w:p>
          <w:p w:rsidR="005A1DFB" w:rsidRDefault="009349D8" w:rsidP="002C2CBD">
            <w:pPr>
              <w:spacing w:after="0" w:line="240" w:lineRule="auto"/>
              <w:jc w:val="both"/>
            </w:pPr>
            <w:r>
              <w:rPr>
                <w:rFonts w:ascii="Times New Roman" w:hAnsi="Times New Roman" w:cs="Times New Roman"/>
                <w:sz w:val="24"/>
                <w:szCs w:val="24"/>
              </w:rPr>
              <w:t xml:space="preserve">Seirevõrk põhineb liigileiukohtadel. </w:t>
            </w:r>
            <w:r w:rsidR="0095531D">
              <w:rPr>
                <w:rFonts w:ascii="Times New Roman" w:hAnsi="Times New Roman" w:cs="Times New Roman"/>
                <w:sz w:val="24"/>
                <w:szCs w:val="24"/>
              </w:rPr>
              <w:t>Lähemal kui 500m paiknevaid</w:t>
            </w:r>
            <w:r w:rsidR="002C2CBD">
              <w:rPr>
                <w:rFonts w:ascii="Times New Roman" w:hAnsi="Times New Roman" w:cs="Times New Roman"/>
                <w:sz w:val="24"/>
                <w:szCs w:val="24"/>
              </w:rPr>
              <w:t xml:space="preserve"> leiukohti</w:t>
            </w:r>
            <w:r>
              <w:rPr>
                <w:rFonts w:ascii="Times New Roman" w:hAnsi="Times New Roman" w:cs="Times New Roman"/>
                <w:sz w:val="24"/>
                <w:szCs w:val="24"/>
              </w:rPr>
              <w:t xml:space="preserve"> käsitle</w:t>
            </w:r>
            <w:r w:rsidR="0095531D">
              <w:rPr>
                <w:rFonts w:ascii="Times New Roman" w:hAnsi="Times New Roman" w:cs="Times New Roman"/>
                <w:sz w:val="24"/>
                <w:szCs w:val="24"/>
              </w:rPr>
              <w:t>takse ühe seirealana</w:t>
            </w:r>
            <w:r w:rsidR="002C2CBD">
              <w:rPr>
                <w:rFonts w:ascii="Times New Roman" w:hAnsi="Times New Roman" w:cs="Times New Roman"/>
                <w:sz w:val="24"/>
                <w:szCs w:val="24"/>
              </w:rPr>
              <w:t xml:space="preserve">, </w:t>
            </w:r>
            <w:r w:rsidR="002C2CBD">
              <w:rPr>
                <w:rFonts w:ascii="Times New Roman" w:hAnsi="Times New Roman" w:cs="Times New Roman"/>
                <w:sz w:val="24"/>
                <w:szCs w:val="24"/>
              </w:rPr>
              <w:t xml:space="preserve">mõõtekohad seireala sees </w:t>
            </w:r>
            <w:r w:rsidR="002C2CBD">
              <w:rPr>
                <w:rFonts w:ascii="Times New Roman" w:hAnsi="Times New Roman" w:cs="Times New Roman"/>
                <w:sz w:val="24"/>
                <w:szCs w:val="24"/>
              </w:rPr>
              <w:t>kirjeldatakse</w:t>
            </w:r>
            <w:r w:rsidR="002C2CBD">
              <w:rPr>
                <w:rFonts w:ascii="Times New Roman" w:hAnsi="Times New Roman" w:cs="Times New Roman"/>
                <w:sz w:val="24"/>
                <w:szCs w:val="24"/>
              </w:rPr>
              <w:t xml:space="preserve"> liigipõhiselt</w:t>
            </w:r>
            <w:r w:rsidR="0095531D">
              <w:rPr>
                <w:rFonts w:ascii="Times New Roman" w:hAnsi="Times New Roman" w:cs="Times New Roman"/>
                <w:sz w:val="24"/>
                <w:szCs w:val="24"/>
              </w:rPr>
              <w:t>. Võimalusel</w:t>
            </w:r>
            <w:r>
              <w:rPr>
                <w:rFonts w:ascii="Times New Roman" w:hAnsi="Times New Roman" w:cs="Times New Roman"/>
                <w:sz w:val="24"/>
                <w:szCs w:val="24"/>
              </w:rPr>
              <w:t xml:space="preserve"> </w:t>
            </w:r>
            <w:r w:rsidR="0095531D">
              <w:rPr>
                <w:rFonts w:ascii="Times New Roman" w:hAnsi="Times New Roman" w:cs="Times New Roman"/>
                <w:sz w:val="24"/>
                <w:szCs w:val="24"/>
              </w:rPr>
              <w:t>kaasatakse seiresse</w:t>
            </w:r>
            <w:r w:rsidR="002C2CBD">
              <w:rPr>
                <w:rFonts w:ascii="Times New Roman" w:hAnsi="Times New Roman" w:cs="Times New Roman"/>
                <w:sz w:val="24"/>
                <w:szCs w:val="24"/>
              </w:rPr>
              <w:t xml:space="preserve"> samal aastal</w:t>
            </w:r>
            <w:r w:rsidR="0095531D">
              <w:rPr>
                <w:rFonts w:ascii="Times New Roman" w:hAnsi="Times New Roman" w:cs="Times New Roman"/>
                <w:sz w:val="24"/>
                <w:szCs w:val="24"/>
              </w:rPr>
              <w:t xml:space="preserve"> mitmete </w:t>
            </w:r>
            <w:r w:rsidR="00763C0C">
              <w:rPr>
                <w:rFonts w:ascii="Times New Roman" w:hAnsi="Times New Roman" w:cs="Times New Roman"/>
                <w:sz w:val="24"/>
                <w:szCs w:val="24"/>
              </w:rPr>
              <w:t>liikide leiukohti</w:t>
            </w:r>
            <w:r w:rsidR="0095531D">
              <w:rPr>
                <w:rFonts w:ascii="Times New Roman" w:hAnsi="Times New Roman" w:cs="Times New Roman"/>
                <w:sz w:val="24"/>
                <w:szCs w:val="24"/>
              </w:rPr>
              <w:t xml:space="preserve"> </w:t>
            </w:r>
            <w:r w:rsidR="002C2CBD">
              <w:rPr>
                <w:rFonts w:ascii="Times New Roman" w:hAnsi="Times New Roman" w:cs="Times New Roman"/>
                <w:sz w:val="24"/>
                <w:szCs w:val="24"/>
              </w:rPr>
              <w:t>ühes</w:t>
            </w:r>
            <w:r w:rsidR="0095531D">
              <w:rPr>
                <w:rFonts w:ascii="Times New Roman" w:hAnsi="Times New Roman" w:cs="Times New Roman"/>
                <w:sz w:val="24"/>
                <w:szCs w:val="24"/>
              </w:rPr>
              <w:t xml:space="preserve"> piirkonnas</w:t>
            </w:r>
            <w:r w:rsidR="002C2CBD">
              <w:rPr>
                <w:rFonts w:ascii="Times New Roman" w:hAnsi="Times New Roman" w:cs="Times New Roman"/>
                <w:sz w:val="24"/>
                <w:szCs w:val="24"/>
              </w:rPr>
              <w:t xml:space="preserve"> </w:t>
            </w:r>
            <w:r>
              <w:rPr>
                <w:rFonts w:ascii="Times New Roman" w:hAnsi="Times New Roman" w:cs="Times New Roman"/>
                <w:sz w:val="24"/>
                <w:szCs w:val="24"/>
              </w:rPr>
              <w:t>aj</w:t>
            </w:r>
            <w:r w:rsidR="002C2CBD">
              <w:rPr>
                <w:rFonts w:ascii="Times New Roman" w:hAnsi="Times New Roman" w:cs="Times New Roman"/>
                <w:sz w:val="24"/>
                <w:szCs w:val="24"/>
              </w:rPr>
              <w:t>a- ja transpordikulu kokkuhoiu nimel</w:t>
            </w:r>
            <w:r>
              <w:rPr>
                <w:rFonts w:ascii="Times New Roman" w:hAnsi="Times New Roman" w:cs="Times New Roman"/>
                <w:sz w:val="24"/>
                <w:szCs w:val="24"/>
              </w:rPr>
              <w:t>.</w:t>
            </w:r>
          </w:p>
          <w:p w:rsidR="005A1DFB" w:rsidRDefault="005A1DFB">
            <w:pPr>
              <w:spacing w:after="0" w:line="240" w:lineRule="auto"/>
              <w:rPr>
                <w:rFonts w:ascii="Times New Roman" w:hAnsi="Times New Roman" w:cs="Times New Roman"/>
                <w:sz w:val="24"/>
                <w:szCs w:val="24"/>
              </w:rPr>
            </w:pPr>
          </w:p>
          <w:p w:rsidR="002C2CBD" w:rsidRDefault="002C2CBD">
            <w:pPr>
              <w:spacing w:after="0" w:line="240" w:lineRule="auto"/>
              <w:rPr>
                <w:rFonts w:ascii="Times New Roman" w:hAnsi="Times New Roman" w:cs="Times New Roman"/>
                <w:sz w:val="24"/>
                <w:szCs w:val="24"/>
              </w:rPr>
            </w:pPr>
          </w:p>
          <w:p w:rsidR="00763C0C" w:rsidRDefault="00763C0C">
            <w:pPr>
              <w:spacing w:after="0" w:line="240" w:lineRule="auto"/>
              <w:rPr>
                <w:rFonts w:ascii="Times New Roman" w:hAnsi="Times New Roman" w:cs="Times New Roman"/>
                <w:sz w:val="24"/>
                <w:szCs w:val="24"/>
              </w:rPr>
            </w:pPr>
            <w:r>
              <w:rPr>
                <w:rFonts w:ascii="Times New Roman" w:hAnsi="Times New Roman" w:cs="Times New Roman"/>
                <w:sz w:val="24"/>
                <w:szCs w:val="24"/>
              </w:rPr>
              <w:t>2022.a seirevalim on toodud tabelis 2.</w:t>
            </w:r>
          </w:p>
          <w:p w:rsidR="00763C0C" w:rsidRDefault="00763C0C">
            <w:pPr>
              <w:spacing w:after="0" w:line="240" w:lineRule="auto"/>
              <w:rPr>
                <w:rFonts w:ascii="Times New Roman" w:hAnsi="Times New Roman" w:cs="Times New Roman"/>
                <w:sz w:val="24"/>
                <w:szCs w:val="24"/>
              </w:rPr>
            </w:pPr>
          </w:p>
          <w:p w:rsidR="00763C0C" w:rsidRDefault="00763C0C">
            <w:pPr>
              <w:spacing w:after="0" w:line="240" w:lineRule="auto"/>
              <w:rPr>
                <w:rFonts w:ascii="Times New Roman" w:hAnsi="Times New Roman" w:cs="Times New Roman"/>
                <w:sz w:val="24"/>
                <w:szCs w:val="24"/>
              </w:rPr>
            </w:pPr>
          </w:p>
          <w:p w:rsidR="00763C0C" w:rsidRDefault="00763C0C">
            <w:pPr>
              <w:spacing w:after="0" w:line="240" w:lineRule="auto"/>
              <w:rPr>
                <w:rFonts w:ascii="Times New Roman" w:hAnsi="Times New Roman" w:cs="Times New Roman"/>
                <w:sz w:val="24"/>
                <w:szCs w:val="24"/>
              </w:rPr>
            </w:pPr>
          </w:p>
          <w:p w:rsidR="00763C0C" w:rsidRDefault="00763C0C">
            <w:pPr>
              <w:spacing w:after="0" w:line="240" w:lineRule="auto"/>
              <w:rPr>
                <w:rFonts w:ascii="Times New Roman" w:hAnsi="Times New Roman" w:cs="Times New Roman"/>
                <w:sz w:val="24"/>
                <w:szCs w:val="24"/>
              </w:rPr>
            </w:pPr>
          </w:p>
          <w:p w:rsidR="005A1DFB" w:rsidRDefault="009349D8">
            <w:pPr>
              <w:spacing w:after="0" w:line="240" w:lineRule="auto"/>
              <w:rPr>
                <w:rFonts w:ascii="Times New Roman" w:hAnsi="Times New Roman" w:cs="Times New Roman"/>
                <w:sz w:val="24"/>
                <w:szCs w:val="24"/>
              </w:rPr>
            </w:pPr>
            <w:r>
              <w:rPr>
                <w:rFonts w:ascii="Times New Roman" w:hAnsi="Times New Roman" w:cs="Times New Roman"/>
                <w:sz w:val="24"/>
                <w:szCs w:val="24"/>
              </w:rPr>
              <w:t>Tabel 2. S</w:t>
            </w:r>
            <w:r w:rsidR="00623E91">
              <w:rPr>
                <w:rFonts w:ascii="Times New Roman" w:hAnsi="Times New Roman" w:cs="Times New Roman"/>
                <w:sz w:val="24"/>
                <w:szCs w:val="24"/>
              </w:rPr>
              <w:t>eire</w:t>
            </w:r>
            <w:r w:rsidR="00763C0C">
              <w:rPr>
                <w:rFonts w:ascii="Times New Roman" w:hAnsi="Times New Roman" w:cs="Times New Roman"/>
                <w:sz w:val="24"/>
                <w:szCs w:val="24"/>
              </w:rPr>
              <w:t>alad ja seireliigid</w:t>
            </w:r>
            <w:r>
              <w:rPr>
                <w:rFonts w:ascii="Times New Roman" w:hAnsi="Times New Roman" w:cs="Times New Roman"/>
                <w:sz w:val="24"/>
                <w:szCs w:val="24"/>
              </w:rPr>
              <w:t xml:space="preserve"> 202</w:t>
            </w:r>
            <w:r w:rsidR="00763C0C">
              <w:rPr>
                <w:rFonts w:ascii="Times New Roman" w:hAnsi="Times New Roman" w:cs="Times New Roman"/>
                <w:sz w:val="24"/>
                <w:szCs w:val="24"/>
              </w:rPr>
              <w:t>2</w:t>
            </w:r>
            <w:r>
              <w:rPr>
                <w:rFonts w:ascii="Times New Roman" w:hAnsi="Times New Roman" w:cs="Times New Roman"/>
                <w:sz w:val="24"/>
                <w:szCs w:val="24"/>
              </w:rPr>
              <w:t>. a.</w:t>
            </w:r>
          </w:p>
          <w:p w:rsidR="00471A4D" w:rsidRDefault="00471A4D">
            <w:pPr>
              <w:spacing w:after="0" w:line="240" w:lineRule="auto"/>
              <w:rPr>
                <w:rFonts w:ascii="Times New Roman" w:hAnsi="Times New Roman" w:cs="Times New Roman"/>
                <w:sz w:val="24"/>
                <w:szCs w:val="24"/>
              </w:rPr>
            </w:pPr>
          </w:p>
          <w:p w:rsidR="00471A4D" w:rsidRDefault="00471A4D">
            <w:pPr>
              <w:spacing w:after="0" w:line="240" w:lineRule="auto"/>
            </w:pPr>
          </w:p>
          <w:tbl>
            <w:tblPr>
              <w:tblW w:w="9538" w:type="dxa"/>
              <w:tblCellMar>
                <w:left w:w="70" w:type="dxa"/>
                <w:right w:w="70" w:type="dxa"/>
              </w:tblCellMar>
              <w:tblLook w:val="0000" w:firstRow="0" w:lastRow="0" w:firstColumn="0" w:lastColumn="0" w:noHBand="0" w:noVBand="0"/>
            </w:tblPr>
            <w:tblGrid>
              <w:gridCol w:w="1903"/>
              <w:gridCol w:w="2131"/>
              <w:gridCol w:w="2921"/>
              <w:gridCol w:w="2583"/>
            </w:tblGrid>
            <w:tr w:rsidR="00763C0C" w:rsidRPr="00763C0C" w:rsidTr="00763C0C">
              <w:tblPrEx>
                <w:tblCellMar>
                  <w:top w:w="0" w:type="dxa"/>
                  <w:bottom w:w="0" w:type="dxa"/>
                </w:tblCellMar>
              </w:tblPrEx>
              <w:trPr>
                <w:trHeight w:val="247"/>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Seireala</w:t>
                  </w:r>
                </w:p>
              </w:tc>
              <w:tc>
                <w:tcPr>
                  <w:tcW w:w="2131" w:type="dxa"/>
                  <w:tcBorders>
                    <w:top w:val="single" w:sz="6" w:space="0" w:color="auto"/>
                    <w:left w:val="single" w:sz="6" w:space="0" w:color="auto"/>
                    <w:bottom w:val="single" w:sz="6" w:space="0" w:color="auto"/>
                    <w:right w:val="nil"/>
                  </w:tcBorders>
                </w:tcPr>
                <w:p w:rsidR="00763C0C" w:rsidRPr="00763C0C" w:rsidRDefault="00763C0C" w:rsidP="00763C0C">
                  <w:pPr>
                    <w:framePr w:hSpace="141" w:wrap="around" w:hAnchor="text" w:y="615"/>
                    <w:autoSpaceDE w:val="0"/>
                    <w:autoSpaceDN w:val="0"/>
                    <w:adjustRightInd w:val="0"/>
                    <w:spacing w:after="0" w:line="240" w:lineRule="auto"/>
                    <w:jc w:val="center"/>
                    <w:rPr>
                      <w:rFonts w:ascii="Arial" w:hAnsi="Arial" w:cs="Arial"/>
                      <w:b/>
                      <w:bCs/>
                      <w:color w:val="000000"/>
                      <w:sz w:val="20"/>
                      <w:szCs w:val="20"/>
                    </w:rPr>
                  </w:pPr>
                  <w:r w:rsidRPr="00763C0C">
                    <w:rPr>
                      <w:rFonts w:ascii="Arial" w:hAnsi="Arial" w:cs="Arial"/>
                      <w:b/>
                      <w:bCs/>
                      <w:color w:val="000000"/>
                      <w:sz w:val="20"/>
                      <w:szCs w:val="20"/>
                    </w:rPr>
                    <w:t>Liiginimi</w:t>
                  </w:r>
                </w:p>
              </w:tc>
              <w:tc>
                <w:tcPr>
                  <w:tcW w:w="2921" w:type="dxa"/>
                  <w:tcBorders>
                    <w:top w:val="single" w:sz="6" w:space="0" w:color="auto"/>
                    <w:left w:val="nil"/>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jc w:val="center"/>
                    <w:rPr>
                      <w:rFonts w:ascii="Arial" w:hAnsi="Arial" w:cs="Arial"/>
                      <w:b/>
                      <w:bCs/>
                      <w:color w:val="000000"/>
                      <w:sz w:val="20"/>
                      <w:szCs w:val="20"/>
                    </w:rPr>
                  </w:pP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KKR kood</w:t>
                  </w:r>
                </w:p>
              </w:tc>
            </w:tr>
            <w:tr w:rsidR="00763C0C" w:rsidRPr="00763C0C" w:rsidTr="00763C0C">
              <w:tblPrEx>
                <w:tblCellMar>
                  <w:top w:w="0" w:type="dxa"/>
                  <w:bottom w:w="0" w:type="dxa"/>
                </w:tblCellMar>
              </w:tblPrEx>
              <w:trPr>
                <w:trHeight w:val="254"/>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Heimtali</w:t>
                  </w:r>
                </w:p>
              </w:tc>
              <w:tc>
                <w:tcPr>
                  <w:tcW w:w="213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roosa võrkheinik</w:t>
                  </w:r>
                </w:p>
              </w:tc>
              <w:tc>
                <w:tcPr>
                  <w:tcW w:w="292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Rhodotus palmatus</w:t>
                  </w: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KLO9600464</w:t>
                  </w:r>
                </w:p>
              </w:tc>
            </w:tr>
            <w:tr w:rsidR="00763C0C" w:rsidRPr="00763C0C" w:rsidTr="00763C0C">
              <w:tblPrEx>
                <w:tblCellMar>
                  <w:top w:w="0" w:type="dxa"/>
                  <w:bottom w:w="0" w:type="dxa"/>
                </w:tblCellMar>
              </w:tblPrEx>
              <w:trPr>
                <w:trHeight w:val="254"/>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Jõempa PEP</w:t>
                  </w:r>
                </w:p>
              </w:tc>
              <w:tc>
                <w:tcPr>
                  <w:tcW w:w="213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lilla põdramokk</w:t>
                  </w:r>
                </w:p>
              </w:tc>
              <w:tc>
                <w:tcPr>
                  <w:tcW w:w="292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Sarcodon fuligineoviolaceus</w:t>
                  </w: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KLO9600462</w:t>
                  </w:r>
                </w:p>
              </w:tc>
            </w:tr>
            <w:tr w:rsidR="00763C0C" w:rsidRPr="00763C0C" w:rsidTr="00763C0C">
              <w:tblPrEx>
                <w:tblCellMar>
                  <w:top w:w="0" w:type="dxa"/>
                  <w:bottom w:w="0" w:type="dxa"/>
                </w:tblCellMar>
              </w:tblPrEx>
              <w:trPr>
                <w:trHeight w:val="254"/>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Jõempa PEP</w:t>
                  </w:r>
                </w:p>
              </w:tc>
              <w:tc>
                <w:tcPr>
                  <w:tcW w:w="213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sellerheinik</w:t>
                  </w:r>
                </w:p>
              </w:tc>
              <w:tc>
                <w:tcPr>
                  <w:tcW w:w="292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Tricholoma apium</w:t>
                  </w: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KLO9600074; KLO9600463</w:t>
                  </w:r>
                </w:p>
              </w:tc>
            </w:tr>
            <w:tr w:rsidR="00763C0C" w:rsidRPr="00763C0C" w:rsidTr="00763C0C">
              <w:tblPrEx>
                <w:tblCellMar>
                  <w:top w:w="0" w:type="dxa"/>
                  <w:bottom w:w="0" w:type="dxa"/>
                </w:tblCellMar>
              </w:tblPrEx>
              <w:trPr>
                <w:trHeight w:val="254"/>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Jõempa PEP</w:t>
                  </w:r>
                </w:p>
              </w:tc>
              <w:tc>
                <w:tcPr>
                  <w:tcW w:w="213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kroonliudik</w:t>
                  </w:r>
                </w:p>
              </w:tc>
              <w:tc>
                <w:tcPr>
                  <w:tcW w:w="292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Sacrosphaera coronaria</w:t>
                  </w: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KLO9600374; KLO9600375</w:t>
                  </w:r>
                </w:p>
              </w:tc>
            </w:tr>
            <w:tr w:rsidR="00763C0C" w:rsidRPr="00763C0C" w:rsidTr="00763C0C">
              <w:tblPrEx>
                <w:tblCellMar>
                  <w:top w:w="0" w:type="dxa"/>
                  <w:bottom w:w="0" w:type="dxa"/>
                </w:tblCellMar>
              </w:tblPrEx>
              <w:trPr>
                <w:trHeight w:val="254"/>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Kandla PEP</w:t>
                  </w:r>
                </w:p>
              </w:tc>
              <w:tc>
                <w:tcPr>
                  <w:tcW w:w="213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lilla põdramokk</w:t>
                  </w:r>
                </w:p>
              </w:tc>
              <w:tc>
                <w:tcPr>
                  <w:tcW w:w="292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Sarcodon fuligineoviolaceus</w:t>
                  </w: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KLO9600049</w:t>
                  </w:r>
                </w:p>
              </w:tc>
            </w:tr>
            <w:tr w:rsidR="00763C0C" w:rsidRPr="00763C0C" w:rsidTr="00763C0C">
              <w:tblPrEx>
                <w:tblCellMar>
                  <w:top w:w="0" w:type="dxa"/>
                  <w:bottom w:w="0" w:type="dxa"/>
                </w:tblCellMar>
              </w:tblPrEx>
              <w:trPr>
                <w:trHeight w:val="254"/>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Kandla PEP</w:t>
                  </w:r>
                </w:p>
              </w:tc>
              <w:tc>
                <w:tcPr>
                  <w:tcW w:w="213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kährikseen</w:t>
                  </w:r>
                </w:p>
              </w:tc>
              <w:tc>
                <w:tcPr>
                  <w:tcW w:w="292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Sparassis crispa</w:t>
                  </w: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KLO9600071</w:t>
                  </w:r>
                </w:p>
              </w:tc>
            </w:tr>
            <w:tr w:rsidR="00763C0C" w:rsidRPr="00763C0C" w:rsidTr="00763C0C">
              <w:tblPrEx>
                <w:tblCellMar>
                  <w:top w:w="0" w:type="dxa"/>
                  <w:bottom w:w="0" w:type="dxa"/>
                </w:tblCellMar>
              </w:tblPrEx>
              <w:trPr>
                <w:trHeight w:val="511"/>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Loode</w:t>
                  </w:r>
                </w:p>
              </w:tc>
              <w:tc>
                <w:tcPr>
                  <w:tcW w:w="213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roosakas tammenääts</w:t>
                  </w:r>
                </w:p>
              </w:tc>
              <w:tc>
                <w:tcPr>
                  <w:tcW w:w="292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 xml:space="preserve">Haploporus tuberculosus </w:t>
                  </w:r>
                </w:p>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(Pachykytospora tuberculosa)</w:t>
                  </w: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KLO9600103</w:t>
                  </w:r>
                </w:p>
              </w:tc>
            </w:tr>
            <w:tr w:rsidR="00763C0C" w:rsidRPr="00763C0C" w:rsidTr="00763C0C">
              <w:tblPrEx>
                <w:tblCellMar>
                  <w:top w:w="0" w:type="dxa"/>
                  <w:bottom w:w="0" w:type="dxa"/>
                </w:tblCellMar>
              </w:tblPrEx>
              <w:trPr>
                <w:trHeight w:val="254"/>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Mihkli</w:t>
                  </w:r>
                </w:p>
              </w:tc>
              <w:tc>
                <w:tcPr>
                  <w:tcW w:w="213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leht-kobartorik</w:t>
                  </w:r>
                </w:p>
              </w:tc>
              <w:tc>
                <w:tcPr>
                  <w:tcW w:w="292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Grifola frondosa</w:t>
                  </w: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KLO9600478</w:t>
                  </w:r>
                </w:p>
              </w:tc>
            </w:tr>
            <w:tr w:rsidR="00763C0C" w:rsidRPr="00763C0C" w:rsidTr="00763C0C">
              <w:tblPrEx>
                <w:tblCellMar>
                  <w:top w:w="0" w:type="dxa"/>
                  <w:bottom w:w="0" w:type="dxa"/>
                </w:tblCellMar>
              </w:tblPrEx>
              <w:trPr>
                <w:trHeight w:val="254"/>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Mihkli</w:t>
                  </w:r>
                </w:p>
              </w:tc>
              <w:tc>
                <w:tcPr>
                  <w:tcW w:w="213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lilla kukeseen</w:t>
                  </w:r>
                </w:p>
              </w:tc>
              <w:tc>
                <w:tcPr>
                  <w:tcW w:w="292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Cantharellus melanoxeros</w:t>
                  </w: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KLO9600081</w:t>
                  </w:r>
                </w:p>
              </w:tc>
            </w:tr>
            <w:tr w:rsidR="00763C0C" w:rsidRPr="00763C0C" w:rsidTr="00763C0C">
              <w:tblPrEx>
                <w:tblCellMar>
                  <w:top w:w="0" w:type="dxa"/>
                  <w:bottom w:w="0" w:type="dxa"/>
                </w:tblCellMar>
              </w:tblPrEx>
              <w:trPr>
                <w:trHeight w:val="254"/>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Mihkli</w:t>
                  </w:r>
                </w:p>
              </w:tc>
              <w:tc>
                <w:tcPr>
                  <w:tcW w:w="213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Bloxami punalehik</w:t>
                  </w:r>
                </w:p>
              </w:tc>
              <w:tc>
                <w:tcPr>
                  <w:tcW w:w="292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Entoloma bloxamii</w:t>
                  </w: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KLO9600086</w:t>
                  </w:r>
                </w:p>
              </w:tc>
            </w:tr>
            <w:tr w:rsidR="00763C0C" w:rsidRPr="00763C0C" w:rsidTr="00763C0C">
              <w:tblPrEx>
                <w:tblCellMar>
                  <w:top w:w="0" w:type="dxa"/>
                  <w:bottom w:w="0" w:type="dxa"/>
                </w:tblCellMar>
              </w:tblPrEx>
              <w:trPr>
                <w:trHeight w:val="254"/>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Vääna-Jõesuu PEP</w:t>
                  </w:r>
                </w:p>
              </w:tc>
              <w:tc>
                <w:tcPr>
                  <w:tcW w:w="213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leht-kobartorik</w:t>
                  </w:r>
                </w:p>
              </w:tc>
              <w:tc>
                <w:tcPr>
                  <w:tcW w:w="292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Grifola frondosa</w:t>
                  </w: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KLO9600043</w:t>
                  </w:r>
                </w:p>
              </w:tc>
            </w:tr>
            <w:tr w:rsidR="00763C0C" w:rsidRPr="00763C0C" w:rsidTr="00763C0C">
              <w:tblPrEx>
                <w:tblCellMar>
                  <w:top w:w="0" w:type="dxa"/>
                  <w:bottom w:w="0" w:type="dxa"/>
                </w:tblCellMar>
              </w:tblPrEx>
              <w:trPr>
                <w:trHeight w:val="254"/>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Saxby</w:t>
                  </w:r>
                </w:p>
              </w:tc>
              <w:tc>
                <w:tcPr>
                  <w:tcW w:w="213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lilla põdramokk</w:t>
                  </w:r>
                </w:p>
              </w:tc>
              <w:tc>
                <w:tcPr>
                  <w:tcW w:w="292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Sarcodon fuligineoviolaceus</w:t>
                  </w: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KLO9600315; KLO9600896</w:t>
                  </w:r>
                </w:p>
              </w:tc>
            </w:tr>
            <w:tr w:rsidR="00763C0C" w:rsidRPr="00763C0C" w:rsidTr="00763C0C">
              <w:tblPrEx>
                <w:tblCellMar>
                  <w:top w:w="0" w:type="dxa"/>
                  <w:bottom w:w="0" w:type="dxa"/>
                </w:tblCellMar>
              </w:tblPrEx>
              <w:trPr>
                <w:trHeight w:val="254"/>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Kurisoo</w:t>
                  </w:r>
                </w:p>
              </w:tc>
              <w:tc>
                <w:tcPr>
                  <w:tcW w:w="213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must hundiseenik</w:t>
                  </w:r>
                </w:p>
              </w:tc>
              <w:tc>
                <w:tcPr>
                  <w:tcW w:w="292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Boletopsis leucomelaena</w:t>
                  </w: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KLO9600040</w:t>
                  </w:r>
                </w:p>
              </w:tc>
            </w:tr>
            <w:tr w:rsidR="00763C0C" w:rsidRPr="00763C0C" w:rsidTr="00763C0C">
              <w:tblPrEx>
                <w:tblCellMar>
                  <w:top w:w="0" w:type="dxa"/>
                  <w:bottom w:w="0" w:type="dxa"/>
                </w:tblCellMar>
              </w:tblPrEx>
              <w:trPr>
                <w:trHeight w:val="254"/>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Liiva</w:t>
                  </w:r>
                </w:p>
              </w:tc>
              <w:tc>
                <w:tcPr>
                  <w:tcW w:w="213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punajalg-kivipuravik</w:t>
                  </w:r>
                </w:p>
              </w:tc>
              <w:tc>
                <w:tcPr>
                  <w:tcW w:w="292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Boletus erythropus</w:t>
                  </w: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KLO9600420</w:t>
                  </w:r>
                </w:p>
              </w:tc>
            </w:tr>
            <w:tr w:rsidR="00763C0C" w:rsidRPr="00763C0C" w:rsidTr="00763C0C">
              <w:tblPrEx>
                <w:tblCellMar>
                  <w:top w:w="0" w:type="dxa"/>
                  <w:bottom w:w="0" w:type="dxa"/>
                </w:tblCellMar>
              </w:tblPrEx>
              <w:trPr>
                <w:trHeight w:val="254"/>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Lõu</w:t>
                  </w:r>
                </w:p>
              </w:tc>
              <w:tc>
                <w:tcPr>
                  <w:tcW w:w="213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lepa-kärbseseen</w:t>
                  </w:r>
                </w:p>
              </w:tc>
              <w:tc>
                <w:tcPr>
                  <w:tcW w:w="292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Amanita friabilis</w:t>
                  </w: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KLO9600251</w:t>
                  </w:r>
                </w:p>
              </w:tc>
            </w:tr>
            <w:tr w:rsidR="00763C0C" w:rsidRPr="00763C0C" w:rsidTr="00763C0C">
              <w:tblPrEx>
                <w:tblCellMar>
                  <w:top w:w="0" w:type="dxa"/>
                  <w:bottom w:w="0" w:type="dxa"/>
                </w:tblCellMar>
              </w:tblPrEx>
              <w:trPr>
                <w:trHeight w:val="254"/>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Lõu</w:t>
                  </w:r>
                </w:p>
              </w:tc>
              <w:tc>
                <w:tcPr>
                  <w:tcW w:w="213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kroonliudik</w:t>
                  </w:r>
                </w:p>
              </w:tc>
              <w:tc>
                <w:tcPr>
                  <w:tcW w:w="292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Sacrosphaera coronaria</w:t>
                  </w: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KLO9600527</w:t>
                  </w:r>
                </w:p>
              </w:tc>
            </w:tr>
            <w:tr w:rsidR="00763C0C" w:rsidRPr="00763C0C" w:rsidTr="00763C0C">
              <w:tblPrEx>
                <w:tblCellMar>
                  <w:top w:w="0" w:type="dxa"/>
                  <w:bottom w:w="0" w:type="dxa"/>
                </w:tblCellMar>
              </w:tblPrEx>
              <w:trPr>
                <w:trHeight w:val="254"/>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Mäebe</w:t>
                  </w:r>
                </w:p>
              </w:tc>
              <w:tc>
                <w:tcPr>
                  <w:tcW w:w="213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Bloxami punalehik</w:t>
                  </w:r>
                </w:p>
              </w:tc>
              <w:tc>
                <w:tcPr>
                  <w:tcW w:w="292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Entoloma bloxamii</w:t>
                  </w: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KLO9600422</w:t>
                  </w:r>
                </w:p>
              </w:tc>
            </w:tr>
            <w:tr w:rsidR="00763C0C" w:rsidRPr="00763C0C" w:rsidTr="00763C0C">
              <w:tblPrEx>
                <w:tblCellMar>
                  <w:top w:w="0" w:type="dxa"/>
                  <w:bottom w:w="0" w:type="dxa"/>
                </w:tblCellMar>
              </w:tblPrEx>
              <w:trPr>
                <w:trHeight w:val="254"/>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Mäebe</w:t>
                  </w:r>
                </w:p>
              </w:tc>
              <w:tc>
                <w:tcPr>
                  <w:tcW w:w="213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purpur-maakeel</w:t>
                  </w:r>
                </w:p>
              </w:tc>
              <w:tc>
                <w:tcPr>
                  <w:tcW w:w="292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Geoglossum atropurpureum</w:t>
                  </w: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KLO9600286</w:t>
                  </w:r>
                </w:p>
              </w:tc>
            </w:tr>
            <w:tr w:rsidR="00763C0C" w:rsidRPr="00763C0C" w:rsidTr="00763C0C">
              <w:tblPrEx>
                <w:tblCellMar>
                  <w:top w:w="0" w:type="dxa"/>
                  <w:bottom w:w="0" w:type="dxa"/>
                </w:tblCellMar>
              </w:tblPrEx>
              <w:trPr>
                <w:trHeight w:val="254"/>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Oandu</w:t>
                  </w:r>
                </w:p>
              </w:tc>
              <w:tc>
                <w:tcPr>
                  <w:tcW w:w="213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lehise-õõspuravik</w:t>
                  </w:r>
                </w:p>
              </w:tc>
              <w:tc>
                <w:tcPr>
                  <w:tcW w:w="292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Suillus cavipes</w:t>
                  </w: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KLO9600220</w:t>
                  </w:r>
                </w:p>
              </w:tc>
            </w:tr>
            <w:tr w:rsidR="00763C0C" w:rsidRPr="00763C0C" w:rsidTr="00763C0C">
              <w:tblPrEx>
                <w:tblCellMar>
                  <w:top w:w="0" w:type="dxa"/>
                  <w:bottom w:w="0" w:type="dxa"/>
                </w:tblCellMar>
              </w:tblPrEx>
              <w:trPr>
                <w:trHeight w:val="254"/>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Oandu</w:t>
                  </w:r>
                </w:p>
              </w:tc>
              <w:tc>
                <w:tcPr>
                  <w:tcW w:w="213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kährikseen</w:t>
                  </w:r>
                </w:p>
              </w:tc>
              <w:tc>
                <w:tcPr>
                  <w:tcW w:w="292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Sparassis crispa</w:t>
                  </w: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KLO9600441</w:t>
                  </w:r>
                </w:p>
              </w:tc>
            </w:tr>
            <w:tr w:rsidR="00763C0C" w:rsidRPr="00763C0C" w:rsidTr="00763C0C">
              <w:tblPrEx>
                <w:tblCellMar>
                  <w:top w:w="0" w:type="dxa"/>
                  <w:bottom w:w="0" w:type="dxa"/>
                </w:tblCellMar>
              </w:tblPrEx>
              <w:trPr>
                <w:trHeight w:val="254"/>
              </w:trPr>
              <w:tc>
                <w:tcPr>
                  <w:tcW w:w="190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Sviby PEP</w:t>
                  </w:r>
                </w:p>
              </w:tc>
              <w:tc>
                <w:tcPr>
                  <w:tcW w:w="213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Bloxami punalehik</w:t>
                  </w:r>
                </w:p>
              </w:tc>
              <w:tc>
                <w:tcPr>
                  <w:tcW w:w="2921"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i/>
                      <w:iCs/>
                      <w:color w:val="000000"/>
                      <w:sz w:val="20"/>
                      <w:szCs w:val="20"/>
                    </w:rPr>
                  </w:pPr>
                  <w:r w:rsidRPr="00763C0C">
                    <w:rPr>
                      <w:rFonts w:ascii="Arial" w:hAnsi="Arial" w:cs="Arial"/>
                      <w:i/>
                      <w:iCs/>
                      <w:color w:val="000000"/>
                      <w:sz w:val="20"/>
                      <w:szCs w:val="20"/>
                    </w:rPr>
                    <w:t>Entoloma bloxamii</w:t>
                  </w:r>
                </w:p>
              </w:tc>
              <w:tc>
                <w:tcPr>
                  <w:tcW w:w="2583" w:type="dxa"/>
                  <w:tcBorders>
                    <w:top w:val="single" w:sz="6" w:space="0" w:color="auto"/>
                    <w:left w:val="single" w:sz="6" w:space="0" w:color="auto"/>
                    <w:bottom w:val="single" w:sz="6" w:space="0" w:color="auto"/>
                    <w:right w:val="single" w:sz="6" w:space="0" w:color="auto"/>
                  </w:tcBorders>
                </w:tcPr>
                <w:p w:rsidR="00763C0C" w:rsidRPr="00763C0C" w:rsidRDefault="00763C0C" w:rsidP="00763C0C">
                  <w:pPr>
                    <w:framePr w:hSpace="141" w:wrap="around" w:hAnchor="text" w:y="615"/>
                    <w:autoSpaceDE w:val="0"/>
                    <w:autoSpaceDN w:val="0"/>
                    <w:adjustRightInd w:val="0"/>
                    <w:spacing w:after="0" w:line="240" w:lineRule="auto"/>
                    <w:rPr>
                      <w:rFonts w:ascii="Arial" w:hAnsi="Arial" w:cs="Arial"/>
                      <w:color w:val="000000"/>
                      <w:sz w:val="20"/>
                      <w:szCs w:val="20"/>
                    </w:rPr>
                  </w:pPr>
                  <w:r w:rsidRPr="00763C0C">
                    <w:rPr>
                      <w:rFonts w:ascii="Arial" w:hAnsi="Arial" w:cs="Arial"/>
                      <w:color w:val="000000"/>
                      <w:sz w:val="20"/>
                      <w:szCs w:val="20"/>
                    </w:rPr>
                    <w:t>KLO9600055</w:t>
                  </w:r>
                </w:p>
              </w:tc>
            </w:tr>
          </w:tbl>
          <w:p w:rsidR="005A1DFB" w:rsidRDefault="005A1DFB">
            <w:pPr>
              <w:spacing w:after="0" w:line="240" w:lineRule="auto"/>
              <w:rPr>
                <w:rFonts w:ascii="Times New Roman" w:hAnsi="Times New Roman" w:cs="Times New Roman"/>
                <w:sz w:val="24"/>
                <w:szCs w:val="24"/>
              </w:rPr>
            </w:pPr>
          </w:p>
          <w:p w:rsidR="005A1DFB" w:rsidRDefault="005A1DFB">
            <w:pPr>
              <w:spacing w:after="0" w:line="240" w:lineRule="auto"/>
              <w:rPr>
                <w:rFonts w:ascii="Times New Roman" w:hAnsi="Times New Roman" w:cs="Times New Roman"/>
                <w:sz w:val="24"/>
                <w:szCs w:val="24"/>
              </w:rPr>
            </w:pPr>
          </w:p>
          <w:p w:rsidR="005A1DFB" w:rsidRDefault="005A1DFB"/>
          <w:p w:rsidR="005A1DFB" w:rsidRDefault="005A1DFB">
            <w:pPr>
              <w:spacing w:after="0" w:line="240" w:lineRule="auto"/>
              <w:rPr>
                <w:rFonts w:ascii="Times New Roman" w:hAnsi="Times New Roman" w:cs="Times New Roman"/>
                <w:sz w:val="24"/>
                <w:szCs w:val="24"/>
              </w:rPr>
            </w:pPr>
          </w:p>
          <w:p w:rsidR="005A1DFB" w:rsidRDefault="005A1DFB">
            <w:pPr>
              <w:spacing w:after="0" w:line="240" w:lineRule="auto"/>
              <w:rPr>
                <w:rFonts w:ascii="Times New Roman" w:hAnsi="Times New Roman" w:cs="Times New Roman"/>
                <w:sz w:val="24"/>
                <w:szCs w:val="24"/>
              </w:rPr>
            </w:pPr>
          </w:p>
        </w:tc>
      </w:tr>
    </w:tbl>
    <w:p w:rsidR="005A1DFB" w:rsidRDefault="005A1DFB">
      <w:pPr>
        <w:spacing w:line="240" w:lineRule="auto"/>
      </w:pPr>
    </w:p>
    <w:sectPr w:rsidR="005A1DFB">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E44CF"/>
    <w:multiLevelType w:val="multilevel"/>
    <w:tmpl w:val="DE90E9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F6F183F"/>
    <w:multiLevelType w:val="multilevel"/>
    <w:tmpl w:val="A7AAA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DB56B3"/>
    <w:multiLevelType w:val="multilevel"/>
    <w:tmpl w:val="B0D204C6"/>
    <w:lvl w:ilvl="0">
      <w:start w:val="1"/>
      <w:numFmt w:val="bullet"/>
      <w:lvlText w:val="•"/>
      <w:lvlJc w:val="left"/>
      <w:pPr>
        <w:ind w:left="1065" w:hanging="705"/>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FB"/>
    <w:rsid w:val="001062AC"/>
    <w:rsid w:val="002C2CBD"/>
    <w:rsid w:val="00471A4D"/>
    <w:rsid w:val="004E2F53"/>
    <w:rsid w:val="005A1DFB"/>
    <w:rsid w:val="00623E91"/>
    <w:rsid w:val="00653766"/>
    <w:rsid w:val="00763C0C"/>
    <w:rsid w:val="007867D1"/>
    <w:rsid w:val="009349D8"/>
    <w:rsid w:val="0095531D"/>
    <w:rsid w:val="00A7515B"/>
    <w:rsid w:val="00DB5A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53B50-2419-4196-9E8E-D08AC587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C34E3"/>
    <w:pPr>
      <w:spacing w:after="160" w:line="259"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JutumullitekstMrk">
    <w:name w:val="Jutumullitekst Märk"/>
    <w:basedOn w:val="Liguvaikefont"/>
    <w:link w:val="Jutumullitekst"/>
    <w:uiPriority w:val="99"/>
    <w:semiHidden/>
    <w:qFormat/>
    <w:rsid w:val="00921C1C"/>
    <w:rPr>
      <w:rFonts w:ascii="Tahoma" w:hAnsi="Tahoma" w:cs="Tahoma"/>
      <w:sz w:val="16"/>
      <w:szCs w:val="16"/>
    </w:rPr>
  </w:style>
  <w:style w:type="character" w:styleId="Kommentaariviide">
    <w:name w:val="annotation reference"/>
    <w:basedOn w:val="Liguvaikefont"/>
    <w:uiPriority w:val="99"/>
    <w:semiHidden/>
    <w:unhideWhenUsed/>
    <w:qFormat/>
    <w:rsid w:val="00950DC6"/>
    <w:rPr>
      <w:sz w:val="16"/>
      <w:szCs w:val="16"/>
    </w:rPr>
  </w:style>
  <w:style w:type="character" w:customStyle="1" w:styleId="KommentaaritekstMrk">
    <w:name w:val="Kommentaari tekst Märk"/>
    <w:basedOn w:val="Liguvaikefont"/>
    <w:link w:val="Kommentaaritekst"/>
    <w:uiPriority w:val="99"/>
    <w:semiHidden/>
    <w:qFormat/>
    <w:rsid w:val="00950DC6"/>
    <w:rPr>
      <w:sz w:val="20"/>
      <w:szCs w:val="20"/>
    </w:rPr>
  </w:style>
  <w:style w:type="character" w:customStyle="1" w:styleId="KommentaariteemaMrk">
    <w:name w:val="Kommentaari teema Märk"/>
    <w:basedOn w:val="KommentaaritekstMrk"/>
    <w:link w:val="Kommentaariteema"/>
    <w:uiPriority w:val="99"/>
    <w:semiHidden/>
    <w:qFormat/>
    <w:rsid w:val="00950DC6"/>
    <w:rPr>
      <w:b/>
      <w:bCs/>
      <w:sz w:val="20"/>
      <w:szCs w:val="20"/>
    </w:rPr>
  </w:style>
  <w:style w:type="character" w:customStyle="1" w:styleId="Internetilink">
    <w:name w:val="Internetilink"/>
    <w:basedOn w:val="Liguvaikefont"/>
    <w:uiPriority w:val="99"/>
    <w:unhideWhenUsed/>
    <w:rsid w:val="00E16A02"/>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cs="Times New Roman"/>
      <w:sz w:val="24"/>
      <w:szCs w:val="24"/>
    </w:rPr>
  </w:style>
  <w:style w:type="character" w:customStyle="1" w:styleId="ListLabel8">
    <w:name w:val="ListLabel 8"/>
    <w:qFormat/>
    <w:rPr>
      <w:rFonts w:ascii="Times New Roman" w:eastAsia="Calibri" w:hAnsi="Times New Roman" w:cs="Times New Roman"/>
      <w:sz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Times New Roman" w:hAnsi="Times New Roman" w:cs="Times New Roman"/>
      <w:sz w:val="24"/>
      <w:szCs w:val="24"/>
    </w:rPr>
  </w:style>
  <w:style w:type="paragraph" w:styleId="Pealkiri">
    <w:name w:val="Title"/>
    <w:basedOn w:val="Normaallaad"/>
    <w:next w:val="Kehatekst"/>
    <w:qFormat/>
    <w:pPr>
      <w:keepNext/>
      <w:spacing w:before="240" w:after="120"/>
    </w:pPr>
    <w:rPr>
      <w:rFonts w:ascii="Times New Roman" w:eastAsia="Microsoft YaHei" w:hAnsi="Times New Roman" w:cs="Lucida Sans"/>
      <w:sz w:val="28"/>
      <w:szCs w:val="28"/>
    </w:rPr>
  </w:style>
  <w:style w:type="paragraph" w:styleId="Kehatekst">
    <w:name w:val="Body Text"/>
    <w:basedOn w:val="Normaallaad"/>
    <w:pPr>
      <w:spacing w:after="140" w:line="276" w:lineRule="auto"/>
    </w:pPr>
  </w:style>
  <w:style w:type="paragraph" w:styleId="Loend">
    <w:name w:val="List"/>
    <w:basedOn w:val="Kehatekst"/>
    <w:rPr>
      <w:rFonts w:ascii="Times New Roman" w:hAnsi="Times New Roman" w:cs="Lucida Sans"/>
    </w:rPr>
  </w:style>
  <w:style w:type="paragraph" w:styleId="Pealdis">
    <w:name w:val="caption"/>
    <w:basedOn w:val="Normaallaad"/>
    <w:qFormat/>
    <w:pPr>
      <w:suppressLineNumbers/>
      <w:spacing w:before="120" w:after="120"/>
    </w:pPr>
    <w:rPr>
      <w:rFonts w:ascii="Times New Roman" w:hAnsi="Times New Roman" w:cs="Lucida Sans"/>
      <w:i/>
      <w:iCs/>
      <w:sz w:val="20"/>
      <w:szCs w:val="24"/>
    </w:rPr>
  </w:style>
  <w:style w:type="paragraph" w:customStyle="1" w:styleId="Register">
    <w:name w:val="Register"/>
    <w:basedOn w:val="Normaallaad"/>
    <w:qFormat/>
    <w:pPr>
      <w:suppressLineNumbers/>
    </w:pPr>
    <w:rPr>
      <w:rFonts w:ascii="Times New Roman" w:hAnsi="Times New Roman" w:cs="Lucida Sans"/>
      <w:sz w:val="20"/>
    </w:rPr>
  </w:style>
  <w:style w:type="paragraph" w:styleId="Loendilik">
    <w:name w:val="List Paragraph"/>
    <w:basedOn w:val="Normaallaad"/>
    <w:uiPriority w:val="34"/>
    <w:qFormat/>
    <w:rsid w:val="00383672"/>
    <w:pPr>
      <w:ind w:left="720"/>
      <w:contextualSpacing/>
    </w:pPr>
  </w:style>
  <w:style w:type="paragraph" w:styleId="Jutumullitekst">
    <w:name w:val="Balloon Text"/>
    <w:basedOn w:val="Normaallaad"/>
    <w:link w:val="JutumullitekstMrk"/>
    <w:uiPriority w:val="99"/>
    <w:semiHidden/>
    <w:unhideWhenUsed/>
    <w:qFormat/>
    <w:rsid w:val="00921C1C"/>
    <w:pPr>
      <w:spacing w:after="0" w:line="240" w:lineRule="auto"/>
    </w:pPr>
    <w:rPr>
      <w:rFonts w:ascii="Tahoma" w:hAnsi="Tahoma" w:cs="Tahoma"/>
      <w:sz w:val="16"/>
      <w:szCs w:val="16"/>
    </w:rPr>
  </w:style>
  <w:style w:type="paragraph" w:styleId="Kommentaaritekst">
    <w:name w:val="annotation text"/>
    <w:basedOn w:val="Normaallaad"/>
    <w:link w:val="KommentaaritekstMrk"/>
    <w:uiPriority w:val="99"/>
    <w:semiHidden/>
    <w:unhideWhenUsed/>
    <w:qFormat/>
    <w:rsid w:val="00950DC6"/>
    <w:pPr>
      <w:spacing w:line="240" w:lineRule="auto"/>
    </w:pPr>
    <w:rPr>
      <w:sz w:val="20"/>
      <w:szCs w:val="20"/>
    </w:rPr>
  </w:style>
  <w:style w:type="paragraph" w:styleId="Kommentaariteema">
    <w:name w:val="annotation subject"/>
    <w:basedOn w:val="Kommentaaritekst"/>
    <w:link w:val="KommentaariteemaMrk"/>
    <w:uiPriority w:val="99"/>
    <w:semiHidden/>
    <w:unhideWhenUsed/>
    <w:qFormat/>
    <w:rsid w:val="00950DC6"/>
    <w:rPr>
      <w:b/>
      <w:bCs/>
    </w:rPr>
  </w:style>
  <w:style w:type="paragraph" w:customStyle="1" w:styleId="Tabelisisu">
    <w:name w:val="Tabeli sisu"/>
    <w:basedOn w:val="Normaallaad"/>
    <w:qFormat/>
    <w:pPr>
      <w:suppressLineNumbers/>
    </w:pPr>
  </w:style>
  <w:style w:type="paragraph" w:customStyle="1" w:styleId="Tabelipis">
    <w:name w:val="Tabeli päis"/>
    <w:basedOn w:val="Tabelisisu"/>
    <w:qFormat/>
    <w:pPr>
      <w:jc w:val="center"/>
    </w:pPr>
    <w:rPr>
      <w:b/>
      <w:bCs/>
    </w:rPr>
  </w:style>
  <w:style w:type="paragraph" w:customStyle="1" w:styleId="Times">
    <w:name w:val="Times"/>
    <w:basedOn w:val="Normaallaad"/>
    <w:qFormat/>
  </w:style>
  <w:style w:type="table" w:styleId="Kontuurtabel">
    <w:name w:val="Table Grid"/>
    <w:basedOn w:val="Normaaltabel"/>
    <w:uiPriority w:val="39"/>
    <w:rsid w:val="000A5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DB5A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371693">
      <w:bodyDiv w:val="1"/>
      <w:marLeft w:val="0"/>
      <w:marRight w:val="0"/>
      <w:marTop w:val="0"/>
      <w:marBottom w:val="0"/>
      <w:divBdr>
        <w:top w:val="none" w:sz="0" w:space="0" w:color="auto"/>
        <w:left w:val="none" w:sz="0" w:space="0" w:color="auto"/>
        <w:bottom w:val="none" w:sz="0" w:space="0" w:color="auto"/>
        <w:right w:val="none" w:sz="0" w:space="0" w:color="auto"/>
      </w:divBdr>
    </w:div>
    <w:div w:id="1096629401">
      <w:bodyDiv w:val="1"/>
      <w:marLeft w:val="0"/>
      <w:marRight w:val="0"/>
      <w:marTop w:val="0"/>
      <w:marBottom w:val="0"/>
      <w:divBdr>
        <w:top w:val="none" w:sz="0" w:space="0" w:color="auto"/>
        <w:left w:val="none" w:sz="0" w:space="0" w:color="auto"/>
        <w:bottom w:val="none" w:sz="0" w:space="0" w:color="auto"/>
        <w:right w:val="none" w:sz="0" w:space="0" w:color="auto"/>
      </w:divBdr>
    </w:div>
    <w:div w:id="1103457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1298</Words>
  <Characters>7532</Characters>
  <Application>Microsoft Office Word</Application>
  <DocSecurity>0</DocSecurity>
  <Lines>62</Lines>
  <Paragraphs>17</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Piret.Kiristaja@envir.ee</dc:creator>
  <cp:keywords/>
  <dc:description/>
  <cp:lastModifiedBy>Aat Sarv</cp:lastModifiedBy>
  <cp:revision>4</cp:revision>
  <dcterms:created xsi:type="dcterms:W3CDTF">2021-10-22T08:37:00Z</dcterms:created>
  <dcterms:modified xsi:type="dcterms:W3CDTF">2021-12-08T23:07:00Z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Keskkonnaministeeriumi Infotehnoloogiakeskus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